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6CDCC" w14:textId="77777777" w:rsidR="000847CF" w:rsidRPr="000847CF" w:rsidRDefault="000847CF" w:rsidP="000847CF">
      <w:pPr>
        <w:pStyle w:val="Barreau-Titres1"/>
      </w:pPr>
      <w:bookmarkStart w:id="0" w:name="_GoBack"/>
      <w:bookmarkEnd w:id="0"/>
      <w:r w:rsidRPr="000847CF">
        <w:t>CONVENTION DE MANDAT</w:t>
      </w:r>
      <w:r w:rsidRPr="000847CF">
        <w:br/>
        <w:t>ET D’HONORAIRES PROFESSIONNELS</w:t>
      </w:r>
    </w:p>
    <w:tbl>
      <w:tblPr>
        <w:tblStyle w:val="Grilledutableau"/>
        <w:tblW w:w="1022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6"/>
        <w:gridCol w:w="7386"/>
      </w:tblGrid>
      <w:tr w:rsidR="006B34D2" w:rsidRPr="006B34D2" w14:paraId="24A3D610" w14:textId="77777777" w:rsidTr="00433B51">
        <w:trPr>
          <w:trHeight w:val="720"/>
        </w:trPr>
        <w:tc>
          <w:tcPr>
            <w:tcW w:w="2836" w:type="dxa"/>
            <w:tcBorders>
              <w:right w:val="single" w:sz="4" w:space="0" w:color="auto"/>
            </w:tcBorders>
            <w:vAlign w:val="center"/>
          </w:tcPr>
          <w:p w14:paraId="03D1EC38" w14:textId="77777777" w:rsidR="006B34D2" w:rsidRPr="006B34D2" w:rsidRDefault="006B34D2" w:rsidP="00B75A41">
            <w:pPr>
              <w:pStyle w:val="Barreau-TexteBold"/>
            </w:pPr>
            <w:r w:rsidRPr="006B34D2">
              <w:t>Entre l’avocat :</w:t>
            </w:r>
          </w:p>
        </w:tc>
        <w:tc>
          <w:tcPr>
            <w:tcW w:w="7386" w:type="dxa"/>
            <w:tcBorders>
              <w:top w:val="single" w:sz="4" w:space="0" w:color="auto"/>
              <w:left w:val="single" w:sz="4" w:space="0" w:color="auto"/>
              <w:bottom w:val="single" w:sz="4" w:space="0" w:color="auto"/>
              <w:right w:val="single" w:sz="4" w:space="0" w:color="auto"/>
            </w:tcBorders>
            <w:vAlign w:val="center"/>
          </w:tcPr>
          <w:p w14:paraId="275FE368" w14:textId="77777777" w:rsidR="006B34D2" w:rsidRPr="006B34D2" w:rsidRDefault="006B34D2" w:rsidP="00B75A41">
            <w:pPr>
              <w:pStyle w:val="Barreau-Texteremplacement"/>
            </w:pPr>
            <w:r w:rsidRPr="006B34D2">
              <w:t>[Coordonnées de l’avocat ou du cabinet]</w:t>
            </w:r>
          </w:p>
        </w:tc>
      </w:tr>
      <w:tr w:rsidR="00991BCF" w:rsidRPr="006B34D2" w14:paraId="49B8B7E5" w14:textId="77777777" w:rsidTr="00433B51">
        <w:trPr>
          <w:trHeight w:val="170"/>
        </w:trPr>
        <w:tc>
          <w:tcPr>
            <w:tcW w:w="2836" w:type="dxa"/>
            <w:vAlign w:val="center"/>
          </w:tcPr>
          <w:p w14:paraId="3C57F004" w14:textId="77777777" w:rsidR="00991BCF" w:rsidRPr="006B34D2" w:rsidRDefault="00991BCF" w:rsidP="00B75A41">
            <w:pPr>
              <w:pStyle w:val="Barreau-Texte"/>
            </w:pPr>
          </w:p>
        </w:tc>
        <w:tc>
          <w:tcPr>
            <w:tcW w:w="7386" w:type="dxa"/>
            <w:tcBorders>
              <w:top w:val="single" w:sz="4" w:space="0" w:color="auto"/>
              <w:bottom w:val="single" w:sz="4" w:space="0" w:color="auto"/>
            </w:tcBorders>
            <w:vAlign w:val="center"/>
          </w:tcPr>
          <w:p w14:paraId="149F98E1" w14:textId="77777777" w:rsidR="00991BCF" w:rsidRPr="006B34D2" w:rsidRDefault="00991BCF" w:rsidP="00B75A41">
            <w:pPr>
              <w:pStyle w:val="Barreau-Texteremplacement"/>
            </w:pPr>
          </w:p>
        </w:tc>
      </w:tr>
      <w:tr w:rsidR="006B34D2" w:rsidRPr="006B34D2" w14:paraId="2EE6DBA4" w14:textId="77777777" w:rsidTr="00433B51">
        <w:trPr>
          <w:trHeight w:val="720"/>
        </w:trPr>
        <w:tc>
          <w:tcPr>
            <w:tcW w:w="2836" w:type="dxa"/>
            <w:tcBorders>
              <w:right w:val="single" w:sz="4" w:space="0" w:color="auto"/>
            </w:tcBorders>
            <w:vAlign w:val="center"/>
          </w:tcPr>
          <w:p w14:paraId="4E73A2F5" w14:textId="77777777" w:rsidR="006B34D2" w:rsidRPr="006B34D2" w:rsidRDefault="006B34D2" w:rsidP="00B75A41">
            <w:pPr>
              <w:pStyle w:val="Barreau-TexteBold"/>
            </w:pPr>
            <w:r w:rsidRPr="006B34D2">
              <w:t>Et le client :</w:t>
            </w:r>
          </w:p>
        </w:tc>
        <w:tc>
          <w:tcPr>
            <w:tcW w:w="7386" w:type="dxa"/>
            <w:tcBorders>
              <w:top w:val="single" w:sz="4" w:space="0" w:color="auto"/>
              <w:left w:val="single" w:sz="4" w:space="0" w:color="auto"/>
              <w:bottom w:val="single" w:sz="4" w:space="0" w:color="auto"/>
              <w:right w:val="single" w:sz="4" w:space="0" w:color="auto"/>
            </w:tcBorders>
            <w:vAlign w:val="center"/>
          </w:tcPr>
          <w:p w14:paraId="453F77E1" w14:textId="77777777" w:rsidR="006B34D2" w:rsidRPr="006B34D2" w:rsidRDefault="006B34D2" w:rsidP="00B75A41">
            <w:pPr>
              <w:pStyle w:val="Barreau-Texteremplacement"/>
            </w:pPr>
            <w:r w:rsidRPr="006B34D2">
              <w:t>[Coordonnées de la personne physique ou de la personne morale]</w:t>
            </w:r>
          </w:p>
        </w:tc>
      </w:tr>
    </w:tbl>
    <w:p w14:paraId="38AE91C6" w14:textId="77777777" w:rsidR="006B34D2" w:rsidRDefault="006B34D2" w:rsidP="00B75A41">
      <w:pPr>
        <w:pStyle w:val="Barreau-Texte"/>
      </w:pPr>
    </w:p>
    <w:tbl>
      <w:tblPr>
        <w:tblStyle w:val="Grilledutableau"/>
        <w:tblW w:w="10188" w:type="dxa"/>
        <w:tblLayout w:type="fixed"/>
        <w:tblLook w:val="04A0" w:firstRow="1" w:lastRow="0" w:firstColumn="1" w:lastColumn="0" w:noHBand="0" w:noVBand="1"/>
      </w:tblPr>
      <w:tblGrid>
        <w:gridCol w:w="2808"/>
        <w:gridCol w:w="7380"/>
      </w:tblGrid>
      <w:tr w:rsidR="0081493A" w:rsidRPr="00991BCF" w14:paraId="75621AF9" w14:textId="77777777" w:rsidTr="00AD68B0">
        <w:trPr>
          <w:trHeight w:val="288"/>
        </w:trPr>
        <w:tc>
          <w:tcPr>
            <w:tcW w:w="2808" w:type="dxa"/>
            <w:tcBorders>
              <w:top w:val="single" w:sz="4" w:space="0" w:color="auto"/>
              <w:left w:val="single" w:sz="4" w:space="0" w:color="auto"/>
              <w:bottom w:val="single" w:sz="4" w:space="0" w:color="auto"/>
            </w:tcBorders>
            <w:vAlign w:val="center"/>
          </w:tcPr>
          <w:p w14:paraId="1B52A6AA" w14:textId="77777777" w:rsidR="0081493A" w:rsidRPr="006B34D2" w:rsidRDefault="0081493A" w:rsidP="00B75A41">
            <w:pPr>
              <w:pStyle w:val="Barreau-TexteBold"/>
            </w:pPr>
            <w:r>
              <w:t>Référence interne</w:t>
            </w:r>
          </w:p>
        </w:tc>
        <w:tc>
          <w:tcPr>
            <w:tcW w:w="7380" w:type="dxa"/>
            <w:tcBorders>
              <w:top w:val="single" w:sz="4" w:space="0" w:color="auto"/>
              <w:bottom w:val="single" w:sz="4" w:space="0" w:color="auto"/>
            </w:tcBorders>
            <w:vAlign w:val="center"/>
          </w:tcPr>
          <w:p w14:paraId="4CD07D42" w14:textId="77777777" w:rsidR="0081493A" w:rsidRPr="00991BCF" w:rsidRDefault="0081493A" w:rsidP="00B75A41">
            <w:pPr>
              <w:pStyle w:val="Barreau-Texteremplacement"/>
            </w:pPr>
            <w:r w:rsidRPr="006B34D2">
              <w:t>[</w:t>
            </w:r>
            <w:r w:rsidRPr="00991BCF">
              <w:t>Référence au dossier interne de l’avocat</w:t>
            </w:r>
            <w:r w:rsidRPr="006B34D2">
              <w:t>]</w:t>
            </w:r>
          </w:p>
        </w:tc>
      </w:tr>
      <w:tr w:rsidR="0081493A" w:rsidRPr="006B34D2" w14:paraId="1094C5A6" w14:textId="77777777" w:rsidTr="00AD68B0">
        <w:trPr>
          <w:trHeight w:val="288"/>
        </w:trPr>
        <w:tc>
          <w:tcPr>
            <w:tcW w:w="2808" w:type="dxa"/>
            <w:tcBorders>
              <w:top w:val="single" w:sz="4" w:space="0" w:color="auto"/>
              <w:left w:val="single" w:sz="4" w:space="0" w:color="auto"/>
              <w:bottom w:val="single" w:sz="4" w:space="0" w:color="auto"/>
            </w:tcBorders>
            <w:vAlign w:val="center"/>
          </w:tcPr>
          <w:p w14:paraId="4FB1C608" w14:textId="77777777" w:rsidR="0081493A" w:rsidRPr="006B34D2" w:rsidRDefault="0081493A" w:rsidP="00B75A41">
            <w:pPr>
              <w:pStyle w:val="Barreau-TexteBold"/>
            </w:pPr>
            <w:r>
              <w:t>Dossier(s) de la Cour</w:t>
            </w:r>
          </w:p>
        </w:tc>
        <w:tc>
          <w:tcPr>
            <w:tcW w:w="7380" w:type="dxa"/>
            <w:tcBorders>
              <w:top w:val="single" w:sz="4" w:space="0" w:color="auto"/>
              <w:bottom w:val="single" w:sz="4" w:space="0" w:color="auto"/>
            </w:tcBorders>
            <w:vAlign w:val="center"/>
          </w:tcPr>
          <w:p w14:paraId="7206F93E" w14:textId="77777777" w:rsidR="0081493A" w:rsidRPr="006B34D2" w:rsidRDefault="0081493A" w:rsidP="00B75A41">
            <w:pPr>
              <w:pStyle w:val="Barreau-Texteremplacement"/>
            </w:pPr>
            <w:r w:rsidRPr="006B34D2">
              <w:t>[</w:t>
            </w:r>
            <w:r>
              <w:t>Référence au dossier(s) du tribunal</w:t>
            </w:r>
            <w:r w:rsidRPr="006B34D2">
              <w:t>]</w:t>
            </w:r>
          </w:p>
        </w:tc>
      </w:tr>
    </w:tbl>
    <w:p w14:paraId="4D784DEF" w14:textId="77777777" w:rsidR="0081493A" w:rsidRDefault="0081493A" w:rsidP="00B75A41">
      <w:pPr>
        <w:pStyle w:val="Barreau-Texte"/>
      </w:pPr>
    </w:p>
    <w:tbl>
      <w:tblPr>
        <w:tblStyle w:val="Grilledutableau"/>
        <w:tblW w:w="10188" w:type="dxa"/>
        <w:tblLook w:val="04A0" w:firstRow="1" w:lastRow="0" w:firstColumn="1" w:lastColumn="0" w:noHBand="0" w:noVBand="1"/>
      </w:tblPr>
      <w:tblGrid>
        <w:gridCol w:w="2808"/>
        <w:gridCol w:w="7380"/>
      </w:tblGrid>
      <w:tr w:rsidR="00991BCF" w:rsidRPr="000847CF" w14:paraId="56F3E87D" w14:textId="77777777" w:rsidTr="00CF0ECF">
        <w:tc>
          <w:tcPr>
            <w:tcW w:w="2808" w:type="dxa"/>
            <w:vAlign w:val="center"/>
          </w:tcPr>
          <w:p w14:paraId="1C1B39AA" w14:textId="7D09E086" w:rsidR="00991BCF" w:rsidRPr="00991BCF" w:rsidRDefault="00991BCF" w:rsidP="00B75A41">
            <w:pPr>
              <w:pStyle w:val="Barreau-TexteBold"/>
            </w:pPr>
            <w:r w:rsidRPr="00991BCF">
              <w:t>Description du mandat</w:t>
            </w:r>
          </w:p>
        </w:tc>
        <w:tc>
          <w:tcPr>
            <w:tcW w:w="7380" w:type="dxa"/>
            <w:vAlign w:val="center"/>
          </w:tcPr>
          <w:p w14:paraId="5B7FF557" w14:textId="77777777" w:rsidR="00991BCF" w:rsidRPr="000847CF" w:rsidRDefault="00991BCF" w:rsidP="00B75A41">
            <w:pPr>
              <w:pStyle w:val="Barreau-Texteremplacement"/>
            </w:pPr>
            <w:r w:rsidRPr="00991BCF">
              <w:t>[Description sommaire du mandat confié à l’avocat par le client]</w:t>
            </w:r>
          </w:p>
        </w:tc>
      </w:tr>
    </w:tbl>
    <w:p w14:paraId="662AF41A" w14:textId="77777777" w:rsidR="00991BCF" w:rsidRDefault="00991BCF" w:rsidP="00B75A41">
      <w:pPr>
        <w:pStyle w:val="Barreau-Texte"/>
      </w:pPr>
    </w:p>
    <w:p w14:paraId="53FF5542" w14:textId="7616C9EC" w:rsidR="0081493A" w:rsidRDefault="00CF0ECF" w:rsidP="0081493A">
      <w:pPr>
        <w:pStyle w:val="Titre1"/>
      </w:pPr>
      <w:bookmarkStart w:id="1" w:name="_Toc349893821"/>
      <w:r>
        <w:t>les parties conviennent de l’entente suivante :</w:t>
      </w:r>
      <w:r w:rsidR="0081493A" w:rsidRPr="00987E29">
        <w:t xml:space="preserve"> </w:t>
      </w:r>
      <w:bookmarkEnd w:id="1"/>
    </w:p>
    <w:tbl>
      <w:tblPr>
        <w:tblW w:w="10170" w:type="dxa"/>
        <w:tblInd w:w="-18" w:type="dxa"/>
        <w:tblBorders>
          <w:top w:val="single" w:sz="4" w:space="0" w:color="6A1B32"/>
          <w:left w:val="single" w:sz="4" w:space="0" w:color="6A1B32"/>
          <w:bottom w:val="single" w:sz="4" w:space="0" w:color="6A1B32"/>
          <w:right w:val="single" w:sz="4" w:space="0" w:color="6A1B32"/>
        </w:tblBorders>
        <w:tblCellMar>
          <w:left w:w="72" w:type="dxa"/>
          <w:right w:w="115" w:type="dxa"/>
        </w:tblCellMar>
        <w:tblLook w:val="04A0" w:firstRow="1" w:lastRow="0" w:firstColumn="1" w:lastColumn="0" w:noHBand="0" w:noVBand="1"/>
      </w:tblPr>
      <w:tblGrid>
        <w:gridCol w:w="10170"/>
      </w:tblGrid>
      <w:tr w:rsidR="006537B8" w14:paraId="55D517CD" w14:textId="77777777" w:rsidTr="00AD68B0">
        <w:trPr>
          <w:trHeight w:val="413"/>
          <w:tblHeader/>
        </w:trPr>
        <w:tc>
          <w:tcPr>
            <w:tcW w:w="10170" w:type="dxa"/>
            <w:tcBorders>
              <w:top w:val="single" w:sz="4" w:space="0" w:color="6A1B32"/>
              <w:bottom w:val="nil"/>
            </w:tcBorders>
            <w:shd w:val="clear" w:color="auto" w:fill="595A5C"/>
            <w:vAlign w:val="center"/>
          </w:tcPr>
          <w:p w14:paraId="50A49AD7" w14:textId="180487C4" w:rsidR="0081493A" w:rsidRPr="006537B8" w:rsidRDefault="0081493A" w:rsidP="00B75A41">
            <w:pPr>
              <w:pStyle w:val="Barreau-BoldBlanc"/>
            </w:pPr>
            <w:r w:rsidRPr="006537B8">
              <w:t>ÉTAPES DU DOSSIER</w:t>
            </w:r>
          </w:p>
        </w:tc>
      </w:tr>
      <w:tr w:rsidR="00445963" w14:paraId="0F4DE04E" w14:textId="77777777" w:rsidTr="00AD68B0">
        <w:trPr>
          <w:trHeight w:val="477"/>
        </w:trPr>
        <w:tc>
          <w:tcPr>
            <w:tcW w:w="10170" w:type="dxa"/>
            <w:tcBorders>
              <w:top w:val="nil"/>
            </w:tcBorders>
            <w:shd w:val="clear" w:color="auto" w:fill="auto"/>
            <w:vAlign w:val="center"/>
          </w:tcPr>
          <w:p w14:paraId="315A6A2F" w14:textId="4CA247A6" w:rsidR="00445963" w:rsidRPr="00595BDD" w:rsidRDefault="00445963" w:rsidP="00B75A41">
            <w:pPr>
              <w:pStyle w:val="Barreau-Texteremplacement"/>
            </w:pPr>
            <w:r>
              <w:t>[Faire un court résumé des étapes prévisibles dans le dossier]</w:t>
            </w:r>
          </w:p>
        </w:tc>
      </w:tr>
    </w:tbl>
    <w:p w14:paraId="7BC1C714" w14:textId="77777777" w:rsidR="0081493A" w:rsidRDefault="0081493A" w:rsidP="00B75A41">
      <w:pPr>
        <w:pStyle w:val="Barreau-Texte"/>
      </w:pPr>
    </w:p>
    <w:tbl>
      <w:tblPr>
        <w:tblW w:w="10170" w:type="dxa"/>
        <w:tblInd w:w="-18" w:type="dxa"/>
        <w:tblBorders>
          <w:top w:val="single" w:sz="4" w:space="0" w:color="6A1B32"/>
          <w:left w:val="single" w:sz="4" w:space="0" w:color="6A1B32"/>
          <w:bottom w:val="single" w:sz="4" w:space="0" w:color="6A1B32"/>
          <w:right w:val="single" w:sz="4" w:space="0" w:color="6A1B32"/>
        </w:tblBorders>
        <w:tblCellMar>
          <w:top w:w="72" w:type="dxa"/>
          <w:left w:w="72" w:type="dxa"/>
          <w:right w:w="115" w:type="dxa"/>
        </w:tblCellMar>
        <w:tblLook w:val="04A0" w:firstRow="1" w:lastRow="0" w:firstColumn="1" w:lastColumn="0" w:noHBand="0" w:noVBand="1"/>
      </w:tblPr>
      <w:tblGrid>
        <w:gridCol w:w="10170"/>
      </w:tblGrid>
      <w:tr w:rsidR="00B86E17" w14:paraId="2147E224" w14:textId="77777777" w:rsidTr="00AD68B0">
        <w:trPr>
          <w:trHeight w:val="413"/>
          <w:tblHeader/>
        </w:trPr>
        <w:tc>
          <w:tcPr>
            <w:tcW w:w="10170" w:type="dxa"/>
            <w:tcBorders>
              <w:top w:val="single" w:sz="4" w:space="0" w:color="6A1B32"/>
              <w:bottom w:val="nil"/>
            </w:tcBorders>
            <w:shd w:val="clear" w:color="auto" w:fill="595A5C"/>
            <w:vAlign w:val="center"/>
          </w:tcPr>
          <w:p w14:paraId="49035E5D" w14:textId="5860E1E7" w:rsidR="00B86E17" w:rsidRPr="006537B8" w:rsidRDefault="00B86E17" w:rsidP="00B75A41">
            <w:pPr>
              <w:pStyle w:val="Barreau-BoldBlanc"/>
            </w:pPr>
            <w:r>
              <w:t>HONORAIRES PROFESSIONNELS</w:t>
            </w:r>
          </w:p>
        </w:tc>
      </w:tr>
      <w:tr w:rsidR="00B86E17" w14:paraId="72165D2D" w14:textId="77777777" w:rsidTr="00AD68B0">
        <w:trPr>
          <w:trHeight w:val="261"/>
        </w:trPr>
        <w:tc>
          <w:tcPr>
            <w:tcW w:w="10170" w:type="dxa"/>
            <w:tcBorders>
              <w:top w:val="nil"/>
            </w:tcBorders>
            <w:shd w:val="clear" w:color="auto" w:fill="auto"/>
            <w:vAlign w:val="center"/>
          </w:tcPr>
          <w:p w14:paraId="0483C4CF" w14:textId="77777777" w:rsidR="00B86E17" w:rsidRDefault="00B86E17" w:rsidP="00B75A41">
            <w:pPr>
              <w:pStyle w:val="Barreau-Texte"/>
            </w:pPr>
            <w:r>
              <w:t xml:space="preserve">Estimation des honoraires professionnels : </w:t>
            </w:r>
            <w:r w:rsidRPr="00607952">
              <w:rPr>
                <w:rStyle w:val="Texteremplacement"/>
              </w:rPr>
              <w:t>[Montant]</w:t>
            </w:r>
            <w:r>
              <w:rPr>
                <w:color w:val="D9D9D9" w:themeColor="background1" w:themeShade="D9"/>
                <w:szCs w:val="20"/>
              </w:rPr>
              <w:t xml:space="preserve"> </w:t>
            </w:r>
            <w:r>
              <w:t>$</w:t>
            </w:r>
          </w:p>
          <w:p w14:paraId="5DBB3613" w14:textId="56C31828" w:rsidR="00CF0ECF" w:rsidRPr="00595BDD" w:rsidRDefault="00CF0ECF" w:rsidP="00B75A41">
            <w:pPr>
              <w:pStyle w:val="Barreau-Noteitalique"/>
            </w:pPr>
            <w:r>
              <w:t>Toutes les taxes applicables (TPS et TVQ) seront payables en sus des honoraires.</w:t>
            </w:r>
          </w:p>
        </w:tc>
      </w:tr>
    </w:tbl>
    <w:p w14:paraId="5F57AE6D" w14:textId="77777777" w:rsidR="0081493A" w:rsidRDefault="0081493A" w:rsidP="00B75A41">
      <w:pPr>
        <w:pStyle w:val="Barreau-Texte"/>
      </w:pPr>
    </w:p>
    <w:tbl>
      <w:tblPr>
        <w:tblW w:w="10170" w:type="dxa"/>
        <w:tblInd w:w="-18" w:type="dxa"/>
        <w:tblBorders>
          <w:top w:val="single" w:sz="4" w:space="0" w:color="6A1B32"/>
          <w:left w:val="single" w:sz="4" w:space="0" w:color="6A1B32"/>
          <w:bottom w:val="single" w:sz="4" w:space="0" w:color="6A1B32"/>
          <w:right w:val="single" w:sz="4" w:space="0" w:color="6A1B32"/>
        </w:tblBorders>
        <w:tblCellMar>
          <w:top w:w="72" w:type="dxa"/>
          <w:left w:w="72" w:type="dxa"/>
          <w:right w:w="115" w:type="dxa"/>
        </w:tblCellMar>
        <w:tblLook w:val="04A0" w:firstRow="1" w:lastRow="0" w:firstColumn="1" w:lastColumn="0" w:noHBand="0" w:noVBand="1"/>
      </w:tblPr>
      <w:tblGrid>
        <w:gridCol w:w="10170"/>
      </w:tblGrid>
      <w:tr w:rsidR="004B6C59" w14:paraId="5E70534E" w14:textId="77777777" w:rsidTr="00AD68B0">
        <w:trPr>
          <w:trHeight w:val="413"/>
          <w:tblHeader/>
        </w:trPr>
        <w:tc>
          <w:tcPr>
            <w:tcW w:w="10170" w:type="dxa"/>
            <w:tcBorders>
              <w:top w:val="single" w:sz="4" w:space="0" w:color="6A1B32"/>
              <w:bottom w:val="nil"/>
            </w:tcBorders>
            <w:shd w:val="clear" w:color="auto" w:fill="595A5C"/>
            <w:vAlign w:val="center"/>
          </w:tcPr>
          <w:p w14:paraId="521DDB3B" w14:textId="4C6AE3E0" w:rsidR="004B6C59" w:rsidRPr="006537B8" w:rsidRDefault="004B6C59" w:rsidP="00B75A41">
            <w:pPr>
              <w:pStyle w:val="Barreau-BoldBlanc"/>
            </w:pPr>
            <w:r>
              <w:t>ESTIMATION DES DÉBOURS</w:t>
            </w:r>
          </w:p>
        </w:tc>
      </w:tr>
      <w:tr w:rsidR="004B6C59" w14:paraId="1781C211" w14:textId="77777777" w:rsidTr="00AD68B0">
        <w:trPr>
          <w:trHeight w:val="720"/>
        </w:trPr>
        <w:tc>
          <w:tcPr>
            <w:tcW w:w="10170" w:type="dxa"/>
            <w:tcBorders>
              <w:top w:val="nil"/>
            </w:tcBorders>
            <w:shd w:val="clear" w:color="auto" w:fill="auto"/>
            <w:vAlign w:val="center"/>
          </w:tcPr>
          <w:p w14:paraId="2DE55484" w14:textId="773FE111" w:rsidR="004B6C59" w:rsidRDefault="00CF0ECF" w:rsidP="00B75A41">
            <w:pPr>
              <w:pStyle w:val="Barreau-Texte"/>
            </w:pPr>
            <w:r>
              <w:t xml:space="preserve">Droits et frais de greffe </w:t>
            </w:r>
            <w:r w:rsidR="004B6C59">
              <w:t xml:space="preserve">de la demande introductive d’instance : </w:t>
            </w:r>
            <w:r w:rsidR="004B6C59" w:rsidRPr="00607952">
              <w:rPr>
                <w:rStyle w:val="Texteremplacement"/>
              </w:rPr>
              <w:t>[Montant]</w:t>
            </w:r>
            <w:r w:rsidR="004B6C59">
              <w:rPr>
                <w:color w:val="D9D9D9" w:themeColor="background1" w:themeShade="D9"/>
                <w:szCs w:val="20"/>
              </w:rPr>
              <w:t xml:space="preserve"> </w:t>
            </w:r>
            <w:r w:rsidR="004B6C59">
              <w:t>$</w:t>
            </w:r>
          </w:p>
          <w:p w14:paraId="7868E5E7" w14:textId="03A8838F" w:rsidR="004B6C59" w:rsidRDefault="00CF0ECF" w:rsidP="00B75A41">
            <w:pPr>
              <w:pStyle w:val="Barreau-Texte"/>
            </w:pPr>
            <w:r>
              <w:t>Droits et frais de greffe</w:t>
            </w:r>
            <w:r w:rsidR="004B6C59">
              <w:t xml:space="preserve"> de la réponse : </w:t>
            </w:r>
            <w:r w:rsidR="00607952" w:rsidRPr="00607952">
              <w:rPr>
                <w:rStyle w:val="Texteremplacement"/>
              </w:rPr>
              <w:t>[Montant]</w:t>
            </w:r>
            <w:r w:rsidR="004B6C59">
              <w:rPr>
                <w:color w:val="D9D9D9" w:themeColor="background1" w:themeShade="D9"/>
                <w:szCs w:val="20"/>
              </w:rPr>
              <w:t xml:space="preserve"> </w:t>
            </w:r>
            <w:r w:rsidR="004B6C59">
              <w:t>$</w:t>
            </w:r>
          </w:p>
          <w:p w14:paraId="09A9904B" w14:textId="0E4F09AD" w:rsidR="004B6C59" w:rsidRDefault="00CF0ECF" w:rsidP="00B75A41">
            <w:pPr>
              <w:pStyle w:val="Barreau-Texte"/>
            </w:pPr>
            <w:r>
              <w:t>Droits et frais de greffe</w:t>
            </w:r>
            <w:r w:rsidR="004B6C59">
              <w:t xml:space="preserve"> de la demande d’inscription pour instruction et jugement : </w:t>
            </w:r>
            <w:r w:rsidR="00607952" w:rsidRPr="00607952">
              <w:rPr>
                <w:rStyle w:val="Texteremplacement"/>
              </w:rPr>
              <w:t>[Montant]</w:t>
            </w:r>
            <w:r w:rsidR="004B6C59">
              <w:rPr>
                <w:color w:val="D9D9D9" w:themeColor="background1" w:themeShade="D9"/>
                <w:szCs w:val="20"/>
              </w:rPr>
              <w:t xml:space="preserve"> </w:t>
            </w:r>
            <w:r w:rsidR="004B6C59">
              <w:t>$</w:t>
            </w:r>
          </w:p>
          <w:p w14:paraId="0E5BE782" w14:textId="00DF2F77" w:rsidR="004B6C59" w:rsidRDefault="004B6C59" w:rsidP="00B75A41">
            <w:pPr>
              <w:pStyle w:val="Barreau-Texte"/>
            </w:pPr>
            <w:r>
              <w:t xml:space="preserve">Total de l’estimation des débours : </w:t>
            </w:r>
            <w:r w:rsidR="00607952" w:rsidRPr="00607952">
              <w:rPr>
                <w:rStyle w:val="Texteremplacement"/>
              </w:rPr>
              <w:t>[Montant]</w:t>
            </w:r>
            <w:r>
              <w:rPr>
                <w:color w:val="D9D9D9" w:themeColor="background1" w:themeShade="D9"/>
                <w:szCs w:val="20"/>
              </w:rPr>
              <w:t xml:space="preserve"> </w:t>
            </w:r>
            <w:r>
              <w:t>$</w:t>
            </w:r>
          </w:p>
          <w:p w14:paraId="392819B6" w14:textId="1324D997" w:rsidR="00CF0ECF" w:rsidRDefault="00CF0ECF" w:rsidP="00B75A41">
            <w:pPr>
              <w:pStyle w:val="Barreau-Noteitalique"/>
            </w:pPr>
            <w:r>
              <w:t>Toutes les taxes applicables (TPS et TVQ) seront payables en sus des débours.</w:t>
            </w:r>
          </w:p>
          <w:p w14:paraId="1638AE41" w14:textId="2F465510" w:rsidR="004B6C59" w:rsidRPr="00595BDD" w:rsidRDefault="004B6C59" w:rsidP="00B75A41">
            <w:pPr>
              <w:pStyle w:val="Barreau-Noteitalique"/>
            </w:pPr>
            <w:r w:rsidRPr="004B6C59">
              <w:t>L’estimation des débours est à titre indicatif seulement et pourrait varier selon le déroulement du dossier. Les débours judiciaires sont fixés par tarif ou règlement.</w:t>
            </w:r>
          </w:p>
        </w:tc>
      </w:tr>
    </w:tbl>
    <w:p w14:paraId="62D64B91" w14:textId="77777777" w:rsidR="004B6C59" w:rsidRDefault="004B6C59" w:rsidP="00B75A41">
      <w:pPr>
        <w:pStyle w:val="Barreau-Texte"/>
      </w:pPr>
    </w:p>
    <w:p w14:paraId="459499D4" w14:textId="77777777" w:rsidR="00535A9C" w:rsidRDefault="00535A9C" w:rsidP="00B75A41">
      <w:pPr>
        <w:pStyle w:val="Barreau-Texte"/>
      </w:pPr>
    </w:p>
    <w:tbl>
      <w:tblPr>
        <w:tblW w:w="10170" w:type="dxa"/>
        <w:tblInd w:w="-18" w:type="dxa"/>
        <w:tblBorders>
          <w:top w:val="single" w:sz="4" w:space="0" w:color="6A1B32"/>
          <w:left w:val="single" w:sz="4" w:space="0" w:color="6A1B32"/>
          <w:bottom w:val="single" w:sz="4" w:space="0" w:color="6A1B32"/>
          <w:right w:val="single" w:sz="4" w:space="0" w:color="6A1B32"/>
        </w:tblBorders>
        <w:tblCellMar>
          <w:left w:w="72" w:type="dxa"/>
          <w:right w:w="115" w:type="dxa"/>
        </w:tblCellMar>
        <w:tblLook w:val="04A0" w:firstRow="1" w:lastRow="0" w:firstColumn="1" w:lastColumn="0" w:noHBand="0" w:noVBand="1"/>
      </w:tblPr>
      <w:tblGrid>
        <w:gridCol w:w="10170"/>
      </w:tblGrid>
      <w:tr w:rsidR="008057A2" w14:paraId="4BF9273E" w14:textId="77777777" w:rsidTr="00AD68B0">
        <w:trPr>
          <w:trHeight w:val="413"/>
          <w:tblHeader/>
        </w:trPr>
        <w:tc>
          <w:tcPr>
            <w:tcW w:w="10170" w:type="dxa"/>
            <w:tcBorders>
              <w:top w:val="single" w:sz="4" w:space="0" w:color="6A1B32"/>
              <w:bottom w:val="nil"/>
            </w:tcBorders>
            <w:shd w:val="clear" w:color="auto" w:fill="595A5C"/>
            <w:vAlign w:val="center"/>
          </w:tcPr>
          <w:p w14:paraId="038CCF4B" w14:textId="47417227" w:rsidR="008057A2" w:rsidRPr="006537B8" w:rsidRDefault="008057A2" w:rsidP="00B75A41">
            <w:pPr>
              <w:pStyle w:val="Barreau-BoldBlanc"/>
            </w:pPr>
            <w:r>
              <w:lastRenderedPageBreak/>
              <w:t>AVANCES EN FIDÉICOMMIS</w:t>
            </w:r>
          </w:p>
        </w:tc>
      </w:tr>
      <w:tr w:rsidR="008057A2" w14:paraId="6EC59EFD" w14:textId="77777777" w:rsidTr="00AD68B0">
        <w:trPr>
          <w:trHeight w:val="513"/>
        </w:trPr>
        <w:tc>
          <w:tcPr>
            <w:tcW w:w="10170" w:type="dxa"/>
            <w:tcBorders>
              <w:top w:val="nil"/>
            </w:tcBorders>
            <w:shd w:val="clear" w:color="auto" w:fill="auto"/>
            <w:vAlign w:val="center"/>
          </w:tcPr>
          <w:p w14:paraId="30635BCD" w14:textId="1E39D168" w:rsidR="008057A2" w:rsidRPr="00595BDD" w:rsidRDefault="008057A2" w:rsidP="00B75A41">
            <w:pPr>
              <w:pStyle w:val="Barreau-Texte"/>
            </w:pPr>
            <w:r>
              <w:t xml:space="preserve">Avance en fidéicommis demandée à la signature de la convention : </w:t>
            </w:r>
            <w:r w:rsidR="005B0F69" w:rsidRPr="00607952">
              <w:rPr>
                <w:rStyle w:val="Texteremplacement"/>
              </w:rPr>
              <w:t>[Montant]</w:t>
            </w:r>
            <w:r>
              <w:rPr>
                <w:color w:val="D9D9D9" w:themeColor="background1" w:themeShade="D9"/>
                <w:szCs w:val="20"/>
              </w:rPr>
              <w:t xml:space="preserve"> </w:t>
            </w:r>
            <w:r>
              <w:t>$</w:t>
            </w:r>
          </w:p>
        </w:tc>
      </w:tr>
      <w:tr w:rsidR="008057A2" w14:paraId="166E6B43" w14:textId="77777777" w:rsidTr="00AD68B0">
        <w:trPr>
          <w:trHeight w:val="413"/>
          <w:tblHeader/>
        </w:trPr>
        <w:tc>
          <w:tcPr>
            <w:tcW w:w="10170" w:type="dxa"/>
            <w:tcBorders>
              <w:top w:val="single" w:sz="4" w:space="0" w:color="6A1B32"/>
              <w:bottom w:val="nil"/>
            </w:tcBorders>
            <w:shd w:val="clear" w:color="auto" w:fill="595A5C"/>
            <w:vAlign w:val="center"/>
          </w:tcPr>
          <w:p w14:paraId="3DDE5BA4" w14:textId="226FAA7F" w:rsidR="008057A2" w:rsidRPr="006537B8" w:rsidRDefault="00620DA4" w:rsidP="00B75A41">
            <w:pPr>
              <w:pStyle w:val="Barreau-BoldBlanc"/>
            </w:pPr>
            <w:r>
              <w:t>CLAUSES RELATIVES AU MODE DE TARIFICATION CHOISI</w:t>
            </w:r>
          </w:p>
        </w:tc>
      </w:tr>
      <w:tr w:rsidR="008057A2" w14:paraId="4A4782EC" w14:textId="77777777" w:rsidTr="00AD68B0">
        <w:trPr>
          <w:trHeight w:val="513"/>
        </w:trPr>
        <w:tc>
          <w:tcPr>
            <w:tcW w:w="10170" w:type="dxa"/>
            <w:tcBorders>
              <w:top w:val="nil"/>
            </w:tcBorders>
            <w:shd w:val="clear" w:color="auto" w:fill="auto"/>
            <w:vAlign w:val="center"/>
          </w:tcPr>
          <w:p w14:paraId="7D3A7504" w14:textId="2F67DD02" w:rsidR="00586B6F" w:rsidRDefault="00586B6F" w:rsidP="00B75A41">
            <w:pPr>
              <w:pStyle w:val="Barreau-Texte"/>
            </w:pPr>
            <w:r w:rsidRPr="00170439">
              <w:rPr>
                <w:i/>
              </w:rPr>
              <w:t xml:space="preserve">Clause à inclure dans le </w:t>
            </w:r>
            <w:r>
              <w:rPr>
                <w:i/>
              </w:rPr>
              <w:t>cas d’une entente à pourcentage </w:t>
            </w:r>
            <w:r w:rsidRPr="00170439">
              <w:rPr>
                <w:i/>
              </w:rPr>
              <w:t>:</w:t>
            </w:r>
            <w:r>
              <w:t xml:space="preserve"> Si le client met fin au mandat avant la conclusion d’une entente ou l’obtention d’un jugement ou pour toute raison qui empêcherait l’avocat de compléter son mandat, les services professionnels déjà rendus seront facturés au tarif de _________$/l’heure. </w:t>
            </w:r>
          </w:p>
          <w:p w14:paraId="36C936BF" w14:textId="77777777" w:rsidR="00586B6F" w:rsidRDefault="00586B6F" w:rsidP="00B75A41">
            <w:pPr>
              <w:pStyle w:val="Barreau-Texte"/>
            </w:pPr>
            <w:r w:rsidRPr="00170439">
              <w:rPr>
                <w:i/>
              </w:rPr>
              <w:t>Clause à inclure dans le cas d’une entente à tarif horaire</w:t>
            </w:r>
            <w:r>
              <w:rPr>
                <w:i/>
              </w:rPr>
              <w:t> </w:t>
            </w:r>
            <w:r w:rsidRPr="00170439">
              <w:rPr>
                <w:i/>
              </w:rPr>
              <w:t>:</w:t>
            </w:r>
            <w:r>
              <w:t xml:space="preserve"> Cette estimation du nombre d’heures est basée sur l’expérience de l’avocat et est à titre indicatif. Elle ne constitue pas une estimation définitive des honoraires et frais qui dépendront des faits à survenir et des services professionnels rendus en cours de mandat. Cette estimation sera révisée selon l’évolution du dossier.</w:t>
            </w:r>
          </w:p>
          <w:p w14:paraId="2515A429" w14:textId="7AF60940" w:rsidR="00586B6F" w:rsidRPr="00595BDD" w:rsidRDefault="00586B6F" w:rsidP="00B75A41">
            <w:pPr>
              <w:pStyle w:val="Barreau-Texte"/>
            </w:pPr>
            <w:r w:rsidRPr="00170439">
              <w:rPr>
                <w:i/>
              </w:rPr>
              <w:t>Clause à inclure dans le cas d’une entente forfaitaire</w:t>
            </w:r>
            <w:r>
              <w:rPr>
                <w:i/>
              </w:rPr>
              <w:t> </w:t>
            </w:r>
            <w:r w:rsidRPr="00170439">
              <w:rPr>
                <w:i/>
              </w:rPr>
              <w:t>:</w:t>
            </w:r>
            <w:r>
              <w:t xml:space="preserve"> En cas de retrait du mandat, les honoraires seront calculés selon les étapes franchies et réalisées au dossier.</w:t>
            </w:r>
          </w:p>
        </w:tc>
      </w:tr>
    </w:tbl>
    <w:p w14:paraId="2FE63008" w14:textId="77777777" w:rsidR="00E2563A" w:rsidRPr="00E2563A" w:rsidRDefault="00E2563A" w:rsidP="00E2563A">
      <w:pPr>
        <w:pStyle w:val="Titre1"/>
      </w:pPr>
      <w:r w:rsidRPr="00E2563A">
        <w:t>Conditions générales</w:t>
      </w:r>
    </w:p>
    <w:p w14:paraId="44C92EE2" w14:textId="77777777" w:rsidR="0052061F" w:rsidRDefault="0052061F" w:rsidP="00B75A41">
      <w:pPr>
        <w:pStyle w:val="Barreau-Texte"/>
        <w:sectPr w:rsidR="0052061F" w:rsidSect="00AD68B0">
          <w:footerReference w:type="even" r:id="rId7"/>
          <w:footerReference w:type="default" r:id="rId8"/>
          <w:pgSz w:w="12240" w:h="15840"/>
          <w:pgMar w:top="720" w:right="1080" w:bottom="720" w:left="1080" w:header="708" w:footer="708" w:gutter="0"/>
          <w:cols w:space="708"/>
          <w:docGrid w:linePitch="360"/>
        </w:sectPr>
      </w:pPr>
    </w:p>
    <w:p w14:paraId="5FA25ACD" w14:textId="115A0046" w:rsidR="00E2563A" w:rsidRPr="00E2563A" w:rsidRDefault="00E2563A" w:rsidP="00B75A41">
      <w:pPr>
        <w:pStyle w:val="Barreau-Texte"/>
      </w:pPr>
      <w:r w:rsidRPr="00E2563A">
        <w:lastRenderedPageBreak/>
        <w:t>Les conditions générales suivantes font partie intégrante de la convention.</w:t>
      </w:r>
    </w:p>
    <w:p w14:paraId="0E82D4B3" w14:textId="77777777" w:rsidR="00E2563A" w:rsidRPr="00E2563A" w:rsidRDefault="00E2563A" w:rsidP="00B75A41">
      <w:pPr>
        <w:pStyle w:val="Barreau-Texte"/>
      </w:pPr>
      <w:r w:rsidRPr="00E2563A">
        <w:t>Le masculin est employé pour alléger le texte.</w:t>
      </w:r>
    </w:p>
    <w:p w14:paraId="7C2C5916" w14:textId="370692F3" w:rsidR="00E2563A" w:rsidRPr="008B2B03" w:rsidRDefault="009101DC" w:rsidP="00B75A41">
      <w:pPr>
        <w:pStyle w:val="Barreau-Intertires"/>
      </w:pPr>
      <w:r>
        <w:t xml:space="preserve">1. </w:t>
      </w:r>
      <w:r w:rsidR="00E2563A" w:rsidRPr="008B2B03">
        <w:t>Frais et honoraires extrajudiciaires</w:t>
      </w:r>
      <w:r w:rsidR="008B2B03">
        <w:tab/>
      </w:r>
    </w:p>
    <w:p w14:paraId="4C629727" w14:textId="77777777" w:rsidR="00E2563A" w:rsidRPr="00E2563A" w:rsidRDefault="00E2563A" w:rsidP="00B75A41">
      <w:pPr>
        <w:pStyle w:val="Barreau-Texte"/>
      </w:pPr>
      <w:r w:rsidRPr="00E2563A">
        <w:t>Les frais et honoraires suivants et les taxes applicables sont à la charge du client :</w:t>
      </w:r>
    </w:p>
    <w:p w14:paraId="25BC79A8" w14:textId="55617F20" w:rsidR="00E2563A" w:rsidRPr="00E2563A" w:rsidRDefault="00E2563A" w:rsidP="00B75A41">
      <w:pPr>
        <w:pStyle w:val="Barreau-TexteBullets"/>
      </w:pPr>
      <w:r w:rsidRPr="00E2563A">
        <w:t xml:space="preserve">Frais d’ouverture de dossier de </w:t>
      </w:r>
      <w:r w:rsidR="0052061F" w:rsidRPr="00106C48">
        <w:rPr>
          <w:color w:val="BFBFBF" w:themeColor="background1" w:themeShade="BF"/>
          <w:szCs w:val="20"/>
        </w:rPr>
        <w:t>[Montant]</w:t>
      </w:r>
      <w:r w:rsidR="0052061F">
        <w:rPr>
          <w:color w:val="D9D9D9" w:themeColor="background1" w:themeShade="D9"/>
          <w:szCs w:val="20"/>
        </w:rPr>
        <w:t xml:space="preserve"> </w:t>
      </w:r>
      <w:r w:rsidR="0052061F">
        <w:t>$</w:t>
      </w:r>
      <w:r w:rsidR="0004352D">
        <w:t>;</w:t>
      </w:r>
    </w:p>
    <w:p w14:paraId="4A93E04C" w14:textId="1856D940" w:rsidR="00E2563A" w:rsidRPr="00E2563A" w:rsidRDefault="0004352D" w:rsidP="00B75A41">
      <w:pPr>
        <w:pStyle w:val="Barreau-TexteBullets"/>
      </w:pPr>
      <w:r>
        <w:t>F</w:t>
      </w:r>
      <w:r w:rsidR="00E2563A" w:rsidRPr="00E2563A">
        <w:t>rais de messagerie, de poste ou de transport de documents ou de procédures au coût réel</w:t>
      </w:r>
      <w:r>
        <w:t>;</w:t>
      </w:r>
    </w:p>
    <w:p w14:paraId="26109B47" w14:textId="56D931EF" w:rsidR="00E2563A" w:rsidRPr="0004352D" w:rsidRDefault="00E2563A" w:rsidP="00B75A41">
      <w:pPr>
        <w:pStyle w:val="Barreau-TexteBullets"/>
        <w:rPr>
          <w:w w:val="97"/>
        </w:rPr>
      </w:pPr>
      <w:r w:rsidRPr="0004352D">
        <w:rPr>
          <w:w w:val="97"/>
        </w:rPr>
        <w:t xml:space="preserve">Les frais de déplacement au taux de </w:t>
      </w:r>
      <w:r w:rsidR="0052061F" w:rsidRPr="0004352D">
        <w:rPr>
          <w:color w:val="BFBFBF" w:themeColor="background1" w:themeShade="BF"/>
          <w:w w:val="97"/>
        </w:rPr>
        <w:t>[Taux/km]</w:t>
      </w:r>
      <w:r w:rsidR="0052061F" w:rsidRPr="0004352D">
        <w:rPr>
          <w:color w:val="D9D9D9" w:themeColor="background1" w:themeShade="D9"/>
          <w:w w:val="97"/>
        </w:rPr>
        <w:t xml:space="preserve"> </w:t>
      </w:r>
      <w:r w:rsidR="0052061F" w:rsidRPr="0004352D">
        <w:rPr>
          <w:w w:val="97"/>
        </w:rPr>
        <w:t>/km</w:t>
      </w:r>
      <w:r w:rsidR="0004352D" w:rsidRPr="0004352D">
        <w:rPr>
          <w:w w:val="97"/>
        </w:rPr>
        <w:t>;</w:t>
      </w:r>
      <w:r w:rsidRPr="0004352D">
        <w:rPr>
          <w:w w:val="97"/>
        </w:rPr>
        <w:t xml:space="preserve"> </w:t>
      </w:r>
    </w:p>
    <w:p w14:paraId="6621BA33" w14:textId="655D74D0" w:rsidR="00E2563A" w:rsidRPr="00E2563A" w:rsidRDefault="00E2563A" w:rsidP="00B75A41">
      <w:pPr>
        <w:pStyle w:val="Barreau-TexteBullets"/>
      </w:pPr>
      <w:r w:rsidRPr="00E2563A">
        <w:t>Frais de photocopie</w:t>
      </w:r>
      <w:r w:rsidR="0004352D">
        <w:t>s;</w:t>
      </w:r>
    </w:p>
    <w:p w14:paraId="36F11457" w14:textId="72477A36" w:rsidR="00E2563A" w:rsidRPr="00E2563A" w:rsidRDefault="0004352D" w:rsidP="00B75A41">
      <w:pPr>
        <w:pStyle w:val="Barreau-TexteBullets"/>
      </w:pPr>
      <w:r>
        <w:t>F</w:t>
      </w:r>
      <w:r w:rsidR="00E2563A" w:rsidRPr="00E2563A">
        <w:t>rais de photocopie destinée au tiers</w:t>
      </w:r>
      <w:r>
        <w:t>;</w:t>
      </w:r>
    </w:p>
    <w:p w14:paraId="59A610F7" w14:textId="616E31D9" w:rsidR="00E2563A" w:rsidRPr="00E2563A" w:rsidRDefault="0004352D" w:rsidP="00B75A41">
      <w:pPr>
        <w:pStyle w:val="Barreau-TexteBullets"/>
      </w:pPr>
      <w:r>
        <w:t>H</w:t>
      </w:r>
      <w:r w:rsidR="00E2563A" w:rsidRPr="00E2563A">
        <w:t>onoraires professionnels des tiers (enquêteurs, évaluateurs ou autre) conditionnels à l’approbation du client</w:t>
      </w:r>
      <w:r>
        <w:t>;</w:t>
      </w:r>
    </w:p>
    <w:p w14:paraId="52E5B8E2" w14:textId="3246CA3D" w:rsidR="00E2563A" w:rsidRPr="00E2563A" w:rsidRDefault="0004352D" w:rsidP="00B75A41">
      <w:pPr>
        <w:pStyle w:val="Barreau-TexteBullets"/>
      </w:pPr>
      <w:r>
        <w:t>A</w:t>
      </w:r>
      <w:r w:rsidR="00E2563A" w:rsidRPr="00E2563A">
        <w:t>utres frais ou honoraires engagés dans le cours de l’exécution du mandat</w:t>
      </w:r>
      <w:r>
        <w:t xml:space="preserve"> (par exemple, les frais de recherche).</w:t>
      </w:r>
    </w:p>
    <w:p w14:paraId="62C513FF" w14:textId="124051A4" w:rsidR="00E2563A" w:rsidRPr="00E2563A" w:rsidRDefault="009101DC" w:rsidP="00B75A41">
      <w:pPr>
        <w:pStyle w:val="Barreau-Intertires"/>
      </w:pPr>
      <w:r>
        <w:t xml:space="preserve">2. </w:t>
      </w:r>
      <w:r w:rsidR="00E2563A" w:rsidRPr="00E2563A">
        <w:t>Frais et honoraires judiciaires</w:t>
      </w:r>
      <w:r w:rsidR="0052061F">
        <w:tab/>
      </w:r>
    </w:p>
    <w:p w14:paraId="3D9CFE12" w14:textId="77777777" w:rsidR="00E2563A" w:rsidRPr="00E2563A" w:rsidRDefault="00E2563A" w:rsidP="00B75A41">
      <w:pPr>
        <w:pStyle w:val="Barreau-Texte"/>
      </w:pPr>
      <w:r w:rsidRPr="00E2563A">
        <w:t>Tous les frais et honoraires judiciaires suivants sont à la charge du client :</w:t>
      </w:r>
    </w:p>
    <w:p w14:paraId="0702540C" w14:textId="138DF364" w:rsidR="00E2563A" w:rsidRPr="00E2563A" w:rsidRDefault="00E2563A" w:rsidP="00B75A41">
      <w:pPr>
        <w:pStyle w:val="Barreau-TexteBullets"/>
      </w:pPr>
      <w:r w:rsidRPr="00E2563A">
        <w:t>Frais judiciaires et droits de greffe en vertu d’un tarif ou d’un règlement</w:t>
      </w:r>
      <w:r w:rsidR="0004352D">
        <w:t>;</w:t>
      </w:r>
    </w:p>
    <w:p w14:paraId="7F5EF2D3" w14:textId="254FD5E3" w:rsidR="00E2563A" w:rsidRPr="00E2563A" w:rsidRDefault="00E2563A" w:rsidP="00B75A41">
      <w:pPr>
        <w:pStyle w:val="Barreau-TexteBullets"/>
      </w:pPr>
      <w:r w:rsidRPr="00E2563A">
        <w:t>Frais et honoraires de signification, de notification ou de transmission des actes de procédures et des documents</w:t>
      </w:r>
      <w:r w:rsidR="0004352D">
        <w:t>;</w:t>
      </w:r>
    </w:p>
    <w:p w14:paraId="789677C5" w14:textId="02CD1B7E" w:rsidR="00E2563A" w:rsidRPr="00E2563A" w:rsidRDefault="00E2563A" w:rsidP="00B75A41">
      <w:pPr>
        <w:pStyle w:val="Barreau-TexteBullets"/>
      </w:pPr>
      <w:r w:rsidRPr="00E2563A">
        <w:t xml:space="preserve">Frais de rédaction et de reproduction des exposés, </w:t>
      </w:r>
      <w:r w:rsidRPr="00E2563A">
        <w:lastRenderedPageBreak/>
        <w:t>des mémoires ou des cahiers de sources</w:t>
      </w:r>
      <w:r w:rsidR="0004352D">
        <w:t>;</w:t>
      </w:r>
    </w:p>
    <w:p w14:paraId="3F7DA8CB" w14:textId="5BECECD8" w:rsidR="00E2563A" w:rsidRPr="00E2563A" w:rsidRDefault="0004352D" w:rsidP="00B75A41">
      <w:pPr>
        <w:pStyle w:val="Barreau-TexteBullets"/>
      </w:pPr>
      <w:r>
        <w:t>I</w:t>
      </w:r>
      <w:r w:rsidR="00E2563A" w:rsidRPr="00E2563A">
        <w:t>ndemnités et allocations dues aux témoins</w:t>
      </w:r>
      <w:r>
        <w:t>;</w:t>
      </w:r>
    </w:p>
    <w:p w14:paraId="52C140B2" w14:textId="74A9A888" w:rsidR="00E2563A" w:rsidRPr="00E2563A" w:rsidRDefault="0004352D" w:rsidP="00B75A41">
      <w:pPr>
        <w:pStyle w:val="Barreau-TexteBullets"/>
      </w:pPr>
      <w:r>
        <w:t>F</w:t>
      </w:r>
      <w:r w:rsidR="00E2563A" w:rsidRPr="00E2563A">
        <w:t>rais d’expertise</w:t>
      </w:r>
      <w:r>
        <w:t>;</w:t>
      </w:r>
    </w:p>
    <w:p w14:paraId="5ADBDB68" w14:textId="42D4C870" w:rsidR="00E2563A" w:rsidRPr="00E2563A" w:rsidRDefault="0004352D" w:rsidP="00B75A41">
      <w:pPr>
        <w:pStyle w:val="Barreau-TexteBullets"/>
      </w:pPr>
      <w:r>
        <w:t>R</w:t>
      </w:r>
      <w:r w:rsidR="00E2563A" w:rsidRPr="00E2563A">
        <w:t>émunération des interprètes</w:t>
      </w:r>
      <w:r>
        <w:t>;</w:t>
      </w:r>
    </w:p>
    <w:p w14:paraId="3F7D1074" w14:textId="18745335" w:rsidR="00E2563A" w:rsidRPr="00E2563A" w:rsidRDefault="0004352D" w:rsidP="00B75A41">
      <w:pPr>
        <w:pStyle w:val="Barreau-TexteBullets"/>
      </w:pPr>
      <w:r>
        <w:t>D</w:t>
      </w:r>
      <w:r w:rsidR="00E2563A" w:rsidRPr="00E2563A">
        <w:t>roits d’inscription sur le registre foncier ou sur le registre des droits personnels et réels mobiliers</w:t>
      </w:r>
      <w:r>
        <w:t>;</w:t>
      </w:r>
    </w:p>
    <w:p w14:paraId="3BED0CA8" w14:textId="1752C161" w:rsidR="00E2563A" w:rsidRPr="00E2563A" w:rsidRDefault="0004352D" w:rsidP="00B75A41">
      <w:pPr>
        <w:pStyle w:val="Barreau-TexteBullets"/>
      </w:pPr>
      <w:r>
        <w:t>F</w:t>
      </w:r>
      <w:r w:rsidR="00E2563A" w:rsidRPr="00E2563A">
        <w:t>rais liés à la prise de transcription des témoignages produits au dossier du tribunal</w:t>
      </w:r>
      <w:r>
        <w:t>.</w:t>
      </w:r>
    </w:p>
    <w:p w14:paraId="14D4CC93" w14:textId="20908540" w:rsidR="00BE174D" w:rsidRDefault="00E2563A" w:rsidP="00B75A41">
      <w:pPr>
        <w:pStyle w:val="Barreau-Texte"/>
      </w:pPr>
      <w:r w:rsidRPr="00E2563A">
        <w:t>Ces frais pourraient faire l’objet d’une réclamation à la partie adverse selon les critères prévus à la loi.</w:t>
      </w:r>
    </w:p>
    <w:p w14:paraId="7D1354C9" w14:textId="4888C07E" w:rsidR="005B0F69" w:rsidRPr="00E2563A" w:rsidRDefault="009101DC" w:rsidP="00B75A41">
      <w:pPr>
        <w:pStyle w:val="Barreau-Intertires"/>
      </w:pPr>
      <w:r>
        <w:t xml:space="preserve">3. </w:t>
      </w:r>
      <w:r w:rsidR="005B0F69" w:rsidRPr="00E2563A">
        <w:t>Avances en fidéicommis</w:t>
      </w:r>
      <w:r w:rsidR="005B0F69">
        <w:tab/>
      </w:r>
    </w:p>
    <w:p w14:paraId="69A88F70" w14:textId="77777777" w:rsidR="005B0F69" w:rsidRPr="00E2563A" w:rsidRDefault="005B0F69" w:rsidP="00B75A41">
      <w:pPr>
        <w:pStyle w:val="Barreau-Texte"/>
      </w:pPr>
      <w:r w:rsidRPr="00E2563A">
        <w:t xml:space="preserve">Les avances en fidéicommis seront appliquées sur les honoraires et les débours, lors de l’émission </w:t>
      </w:r>
      <w:r>
        <w:t>du compte</w:t>
      </w:r>
      <w:r w:rsidRPr="00E2563A">
        <w:t xml:space="preserve"> d’honoraires. Tout excédent sera remboursé au client à la suite de l’envoi </w:t>
      </w:r>
      <w:r>
        <w:t>du compte d’honoraires final</w:t>
      </w:r>
      <w:r w:rsidRPr="00E2563A">
        <w:t>.</w:t>
      </w:r>
    </w:p>
    <w:p w14:paraId="0293B59A" w14:textId="77777777" w:rsidR="005B0F69" w:rsidRDefault="005B0F69" w:rsidP="00B75A41">
      <w:pPr>
        <w:pStyle w:val="Barreau-Texte"/>
      </w:pPr>
      <w:r w:rsidRPr="00E2563A">
        <w:t>Le client s’engage à verser</w:t>
      </w:r>
      <w:r>
        <w:t xml:space="preserve">, dans les 30 jours de la demande, </w:t>
      </w:r>
      <w:r w:rsidRPr="00E2563A">
        <w:t>les avances réclamées</w:t>
      </w:r>
      <w:r>
        <w:t xml:space="preserve"> </w:t>
      </w:r>
      <w:r w:rsidRPr="00E2563A">
        <w:t xml:space="preserve">au fur et à mesure de l’exécution du mandat. </w:t>
      </w:r>
    </w:p>
    <w:p w14:paraId="77AA765C" w14:textId="796D6611" w:rsidR="00B75A41" w:rsidRDefault="005B0F69" w:rsidP="00B75A41">
      <w:pPr>
        <w:pStyle w:val="Barreau-Texte"/>
      </w:pPr>
      <w:r>
        <w:t>Si l</w:t>
      </w:r>
      <w:r w:rsidRPr="00E2563A">
        <w:t xml:space="preserve">es avances </w:t>
      </w:r>
      <w:r>
        <w:t xml:space="preserve">sont </w:t>
      </w:r>
      <w:r w:rsidRPr="00E2563A">
        <w:t>payées par chèque</w:t>
      </w:r>
      <w:r>
        <w:t>s, ceux-ci doivent être</w:t>
      </w:r>
      <w:r w:rsidRPr="00E2563A">
        <w:t xml:space="preserve"> libellé</w:t>
      </w:r>
      <w:r>
        <w:t>s</w:t>
      </w:r>
      <w:r w:rsidRPr="00E2563A">
        <w:t xml:space="preserve"> au nom de « M</w:t>
      </w:r>
      <w:r w:rsidRPr="006B034B">
        <w:rPr>
          <w:vertAlign w:val="superscript"/>
        </w:rPr>
        <w:t>e</w:t>
      </w:r>
      <w:r w:rsidRPr="00E2563A">
        <w:t xml:space="preserve"> </w:t>
      </w:r>
      <w:r w:rsidRPr="005B0F69">
        <w:rPr>
          <w:rStyle w:val="Texteremplacement"/>
        </w:rPr>
        <w:t>[Nom de l’avocat]</w:t>
      </w:r>
      <w:r w:rsidR="00535A9C">
        <w:rPr>
          <w:rStyle w:val="Texteremplacement"/>
        </w:rPr>
        <w:t xml:space="preserve"> </w:t>
      </w:r>
      <w:r w:rsidR="00535A9C" w:rsidRPr="00535A9C">
        <w:rPr>
          <w:rStyle w:val="Texteremplacement"/>
          <w:color w:val="auto"/>
        </w:rPr>
        <w:t>»</w:t>
      </w:r>
      <w:r w:rsidR="00535A9C">
        <w:rPr>
          <w:rStyle w:val="Texteremplacement"/>
        </w:rPr>
        <w:t xml:space="preserve"> </w:t>
      </w:r>
      <w:r w:rsidR="00027C5B">
        <w:t>en fidéicommis ».</w:t>
      </w:r>
      <w:r w:rsidR="00B75A41">
        <w:br w:type="page"/>
      </w:r>
    </w:p>
    <w:p w14:paraId="74BA6153" w14:textId="414D794A" w:rsidR="00E2563A" w:rsidRPr="00E2563A" w:rsidRDefault="009101DC" w:rsidP="00B75A41">
      <w:pPr>
        <w:pStyle w:val="Barreau-Intertires"/>
      </w:pPr>
      <w:r>
        <w:lastRenderedPageBreak/>
        <w:t xml:space="preserve">4. </w:t>
      </w:r>
      <w:r w:rsidR="00E2563A" w:rsidRPr="00E2563A">
        <w:t>Modalités de paiement</w:t>
      </w:r>
      <w:r w:rsidR="00BD48A3">
        <w:tab/>
      </w:r>
    </w:p>
    <w:p w14:paraId="2D34A5F0" w14:textId="75E72412" w:rsidR="00E2563A" w:rsidRPr="00E2563A" w:rsidRDefault="00E2563A" w:rsidP="00B75A41">
      <w:pPr>
        <w:pStyle w:val="Barreau-TexteBullets"/>
      </w:pPr>
      <w:r w:rsidRPr="00E2563A">
        <w:t>Par chèque, libellé à l’ordre de «</w:t>
      </w:r>
      <w:r w:rsidR="00383CC9">
        <w:t> </w:t>
      </w:r>
      <w:r w:rsidRPr="00E2563A">
        <w:t>M</w:t>
      </w:r>
      <w:r w:rsidRPr="00AD68B0">
        <w:rPr>
          <w:vertAlign w:val="superscript"/>
        </w:rPr>
        <w:t>e</w:t>
      </w:r>
      <w:r w:rsidRPr="00E2563A">
        <w:t xml:space="preserve"> </w:t>
      </w:r>
      <w:r w:rsidRPr="005B0F69">
        <w:rPr>
          <w:rStyle w:val="Texteremplacement"/>
        </w:rPr>
        <w:t>[Nom de l’avocat]</w:t>
      </w:r>
      <w:r w:rsidR="00383CC9">
        <w:t> </w:t>
      </w:r>
      <w:r w:rsidRPr="00E2563A">
        <w:t>», transmis aux coordonnées mentionnées à la présente</w:t>
      </w:r>
      <w:r w:rsidR="00126EC6">
        <w:t>.</w:t>
      </w:r>
    </w:p>
    <w:p w14:paraId="57CEBA88" w14:textId="41A68EC0" w:rsidR="00126EC6" w:rsidRDefault="00E2563A" w:rsidP="00B75A41">
      <w:pPr>
        <w:pStyle w:val="Barreau-TexteBullets"/>
      </w:pPr>
      <w:r w:rsidRPr="00E2563A">
        <w:t xml:space="preserve">Par carte de crédit, en transmettant les informations requises au bordereau de paiement joint </w:t>
      </w:r>
      <w:r w:rsidR="00126EC6">
        <w:t>au compte d’honoraires</w:t>
      </w:r>
      <w:r w:rsidRPr="00E2563A">
        <w:t xml:space="preserve"> ou par paiement bancaire électronique</w:t>
      </w:r>
      <w:r w:rsidR="00126EC6">
        <w:t>,</w:t>
      </w:r>
      <w:r w:rsidRPr="00E2563A">
        <w:t xml:space="preserve"> en </w:t>
      </w:r>
      <w:r w:rsidR="00126EC6">
        <w:t>donnant suite à une</w:t>
      </w:r>
      <w:r w:rsidRPr="00E2563A">
        <w:t xml:space="preserve"> demande de paiement par courriel</w:t>
      </w:r>
      <w:r w:rsidR="00126EC6">
        <w:t>.</w:t>
      </w:r>
    </w:p>
    <w:p w14:paraId="30D6E526" w14:textId="75405B99" w:rsidR="00E2563A" w:rsidRPr="00E2563A" w:rsidRDefault="00E2563A" w:rsidP="00B75A41">
      <w:pPr>
        <w:pStyle w:val="Barreau-TexteBullets"/>
      </w:pPr>
      <w:r w:rsidRPr="00E2563A">
        <w:t>Par virement bancaire, en suivant les instructions qui vous seront transmises</w:t>
      </w:r>
      <w:r w:rsidR="00027C5B">
        <w:t>.</w:t>
      </w:r>
    </w:p>
    <w:p w14:paraId="5E1296D7" w14:textId="1C76ED9D" w:rsidR="00EF0053" w:rsidRDefault="00126EC6" w:rsidP="00B75A41">
      <w:pPr>
        <w:pStyle w:val="Barreau-Texte"/>
      </w:pPr>
      <w:r>
        <w:t xml:space="preserve">Tout compte </w:t>
      </w:r>
      <w:r w:rsidR="00E2563A" w:rsidRPr="00E2563A">
        <w:t>d’honoraires est payable dans les 30</w:t>
      </w:r>
      <w:r w:rsidR="00383CC9">
        <w:t> </w:t>
      </w:r>
      <w:r w:rsidR="00E2563A" w:rsidRPr="00E2563A">
        <w:t xml:space="preserve">jours. Des intérêts de </w:t>
      </w:r>
      <w:r w:rsidR="0052061F" w:rsidRPr="005B0F69">
        <w:rPr>
          <w:rStyle w:val="Texteremplacement"/>
        </w:rPr>
        <w:t>[Taux]</w:t>
      </w:r>
      <w:r w:rsidR="0052061F">
        <w:rPr>
          <w:color w:val="D9D9D9" w:themeColor="background1" w:themeShade="D9"/>
          <w:szCs w:val="20"/>
        </w:rPr>
        <w:t xml:space="preserve"> </w:t>
      </w:r>
      <w:r w:rsidR="0052061F">
        <w:t>%</w:t>
      </w:r>
      <w:r w:rsidR="0052061F" w:rsidRPr="00E2563A">
        <w:t xml:space="preserve"> </w:t>
      </w:r>
      <w:r w:rsidR="00E2563A" w:rsidRPr="00E2563A">
        <w:t xml:space="preserve">l’an seront </w:t>
      </w:r>
      <w:r>
        <w:t>calculés</w:t>
      </w:r>
      <w:r w:rsidR="00E2563A" w:rsidRPr="00E2563A">
        <w:t>, à compter de l’expiration des 30</w:t>
      </w:r>
      <w:r w:rsidR="00383CC9">
        <w:t> </w:t>
      </w:r>
      <w:r w:rsidR="00E2563A" w:rsidRPr="00E2563A">
        <w:t>jours de la date d’expédition du compte.</w:t>
      </w:r>
    </w:p>
    <w:p w14:paraId="1AD44EAB" w14:textId="5432EBB7" w:rsidR="00E2563A" w:rsidRPr="00B75A41" w:rsidRDefault="00126EC6" w:rsidP="00B75A41">
      <w:pPr>
        <w:pStyle w:val="Barreau-Intertires"/>
        <w:spacing w:before="0"/>
      </w:pPr>
      <w:r w:rsidRPr="00B75A41">
        <w:br w:type="column"/>
      </w:r>
      <w:r w:rsidR="009101DC">
        <w:lastRenderedPageBreak/>
        <w:t xml:space="preserve">5. </w:t>
      </w:r>
      <w:r w:rsidR="00E2563A" w:rsidRPr="00B75A41">
        <w:t>Entrée en vigueur</w:t>
      </w:r>
      <w:r w:rsidR="00CB013A" w:rsidRPr="00B75A41">
        <w:tab/>
      </w:r>
    </w:p>
    <w:p w14:paraId="5DDAB06A" w14:textId="77777777" w:rsidR="00E2563A" w:rsidRPr="00E2563A" w:rsidRDefault="00E2563A" w:rsidP="00B75A41">
      <w:pPr>
        <w:pStyle w:val="Barreau-Texte"/>
      </w:pPr>
      <w:r w:rsidRPr="00E2563A">
        <w:t>Cette convention entre en vigueur :</w:t>
      </w:r>
    </w:p>
    <w:p w14:paraId="2EE84F0E" w14:textId="0ED17980" w:rsidR="00E2563A" w:rsidRPr="00E2563A" w:rsidRDefault="00E2563A" w:rsidP="00B75A41">
      <w:pPr>
        <w:pStyle w:val="Barreau-Texte"/>
        <w:numPr>
          <w:ilvl w:val="0"/>
          <w:numId w:val="7"/>
        </w:numPr>
      </w:pPr>
      <w:r w:rsidRPr="00E2563A">
        <w:t>Dès sa signature</w:t>
      </w:r>
    </w:p>
    <w:p w14:paraId="5E77836B" w14:textId="152ED076" w:rsidR="00885897" w:rsidRDefault="00E2563A" w:rsidP="00B75A41">
      <w:pPr>
        <w:pStyle w:val="Barreau-Texte"/>
        <w:numPr>
          <w:ilvl w:val="0"/>
          <w:numId w:val="7"/>
        </w:numPr>
      </w:pPr>
      <w:r w:rsidRPr="00E2563A">
        <w:t>Dès que les conditions suivantes sont remplies :</w:t>
      </w:r>
    </w:p>
    <w:p w14:paraId="46B3D772" w14:textId="7B517A78" w:rsidR="00BE174D" w:rsidRDefault="00BE174D" w:rsidP="00B75A41">
      <w:pPr>
        <w:pStyle w:val="Barreau-Intertires"/>
      </w:pPr>
      <w:r w:rsidRPr="00BE174D">
        <w:t xml:space="preserve"> </w:t>
      </w:r>
      <w:r w:rsidRPr="00BE174D">
        <w:tab/>
      </w:r>
    </w:p>
    <w:p w14:paraId="2C4CF19D" w14:textId="4012FD8B" w:rsidR="00126EC6" w:rsidRDefault="00126EC6" w:rsidP="00B75A41">
      <w:pPr>
        <w:pStyle w:val="Barreau-Intertires"/>
      </w:pPr>
      <w:r>
        <w:tab/>
      </w:r>
    </w:p>
    <w:p w14:paraId="1EDDDA78" w14:textId="33959011" w:rsidR="00126EC6" w:rsidRDefault="00126EC6" w:rsidP="00B75A41">
      <w:pPr>
        <w:pStyle w:val="Barreau-Intertires"/>
      </w:pPr>
      <w:r>
        <w:tab/>
      </w:r>
    </w:p>
    <w:p w14:paraId="2004450E" w14:textId="30EB9141" w:rsidR="008503E5" w:rsidRDefault="008503E5" w:rsidP="00B75A41">
      <w:pPr>
        <w:pStyle w:val="Barreau-Texte"/>
      </w:pPr>
    </w:p>
    <w:p w14:paraId="4A43C4AB" w14:textId="77777777" w:rsidR="00843DBE" w:rsidRDefault="00843DBE" w:rsidP="00843DBE">
      <w:pPr>
        <w:pStyle w:val="Titre1"/>
        <w:sectPr w:rsidR="00843DBE" w:rsidSect="006E4B90">
          <w:type w:val="continuous"/>
          <w:pgSz w:w="12240" w:h="15840"/>
          <w:pgMar w:top="720" w:right="1080" w:bottom="1152" w:left="1080" w:header="708" w:footer="708" w:gutter="0"/>
          <w:cols w:num="2" w:space="708"/>
          <w:docGrid w:linePitch="360"/>
        </w:sectPr>
      </w:pPr>
    </w:p>
    <w:p w14:paraId="5FD8162E" w14:textId="77777777" w:rsidR="00B75A41" w:rsidRDefault="00B75A41" w:rsidP="00B75A41">
      <w:pPr>
        <w:pStyle w:val="Barreau-Texte"/>
      </w:pPr>
    </w:p>
    <w:p w14:paraId="4547ECA9" w14:textId="40EC74A5" w:rsidR="00843DBE" w:rsidRDefault="00843DBE" w:rsidP="00843DBE">
      <w:pPr>
        <w:pStyle w:val="Titre1"/>
      </w:pPr>
      <w:r>
        <w:t>Avis</w:t>
      </w:r>
    </w:p>
    <w:p w14:paraId="4135A619" w14:textId="77777777" w:rsidR="00843DBE" w:rsidRDefault="00843DBE" w:rsidP="00843DBE">
      <w:pPr>
        <w:pStyle w:val="BasicParagraph"/>
        <w:rPr>
          <w:sz w:val="18"/>
          <w:szCs w:val="18"/>
          <w:lang w:val="fr-CA"/>
        </w:rPr>
        <w:sectPr w:rsidR="00843DBE" w:rsidSect="00FF4A28">
          <w:type w:val="continuous"/>
          <w:pgSz w:w="12240" w:h="15840"/>
          <w:pgMar w:top="720" w:right="1080" w:bottom="1080" w:left="1080" w:header="708" w:footer="708" w:gutter="0"/>
          <w:cols w:space="708"/>
          <w:docGrid w:linePitch="360"/>
        </w:sectPr>
      </w:pPr>
    </w:p>
    <w:p w14:paraId="36AC8514" w14:textId="77777777" w:rsidR="00843DBE" w:rsidRPr="008346B5" w:rsidRDefault="00843DBE" w:rsidP="00B75A41">
      <w:pPr>
        <w:pStyle w:val="Barreau-Texte"/>
      </w:pPr>
      <w:r w:rsidRPr="008346B5">
        <w:lastRenderedPageBreak/>
        <w:t>Les avis suivants font partie intégrante de la convention.</w:t>
      </w:r>
    </w:p>
    <w:p w14:paraId="51DED1C5" w14:textId="4089B188" w:rsidR="00843DBE" w:rsidRPr="008346B5" w:rsidRDefault="009101DC" w:rsidP="00B75A41">
      <w:pPr>
        <w:pStyle w:val="Barreau-Intertires"/>
      </w:pPr>
      <w:r>
        <w:t xml:space="preserve">6. </w:t>
      </w:r>
      <w:r w:rsidR="00843DBE" w:rsidRPr="008346B5">
        <w:t>Aide juridique</w:t>
      </w:r>
      <w:r w:rsidR="00843DBE" w:rsidRPr="008346B5">
        <w:tab/>
      </w:r>
    </w:p>
    <w:p w14:paraId="7E4F5B9E" w14:textId="15989838" w:rsidR="00843DBE" w:rsidRPr="008346B5" w:rsidRDefault="00B75A41" w:rsidP="00B75A41">
      <w:pPr>
        <w:pStyle w:val="Barreau-Texte"/>
      </w:pPr>
      <w:r w:rsidRPr="00222F0C">
        <w:rPr>
          <w:szCs w:val="20"/>
        </w:rPr>
        <w:t>L’avocat informe sans délai le client lorsqu’il le croit</w:t>
      </w:r>
      <w:r>
        <w:rPr>
          <w:szCs w:val="20"/>
        </w:rPr>
        <w:t xml:space="preserve"> admissible à l’aide juridique. </w:t>
      </w:r>
      <w:r w:rsidRPr="00222F0C">
        <w:rPr>
          <w:szCs w:val="20"/>
        </w:rPr>
        <w:t>La présente convention prendra fin à la date d’émission de tout mandat d’aide juridique au nom de l’avocat.</w:t>
      </w:r>
    </w:p>
    <w:p w14:paraId="50CE2CEA" w14:textId="7B0AD3AA" w:rsidR="00843DBE" w:rsidRPr="008346B5" w:rsidRDefault="009101DC" w:rsidP="009101DC">
      <w:pPr>
        <w:pStyle w:val="Barreau-Intertires"/>
        <w:jc w:val="left"/>
      </w:pPr>
      <w:r>
        <w:t xml:space="preserve">7. </w:t>
      </w:r>
      <w:r w:rsidR="00843DBE" w:rsidRPr="008346B5">
        <w:t xml:space="preserve">Modes de prévention et de </w:t>
      </w:r>
      <w:r>
        <w:t xml:space="preserve">règlement des </w:t>
      </w:r>
      <w:r w:rsidR="00843DBE" w:rsidRPr="008346B5">
        <w:t>différends</w:t>
      </w:r>
      <w:r w:rsidR="00843DBE" w:rsidRPr="008346B5">
        <w:tab/>
      </w:r>
    </w:p>
    <w:p w14:paraId="109DF370" w14:textId="74F1A47E" w:rsidR="00843DBE" w:rsidRPr="008346B5" w:rsidRDefault="00843DBE" w:rsidP="00B75A41">
      <w:pPr>
        <w:pStyle w:val="Barreau-Texte"/>
      </w:pPr>
      <w:r w:rsidRPr="008346B5">
        <w:t>L’avocat a informé le client des différents moyens disponibles pour régler son différend, autre que le recours aux tribunaux (conciliation, négociation, médiation, arbitrage, etc.)</w:t>
      </w:r>
      <w:r w:rsidR="00027C5B">
        <w:t>.</w:t>
      </w:r>
    </w:p>
    <w:p w14:paraId="3D55A014" w14:textId="69672681" w:rsidR="00B75A41" w:rsidRPr="008346B5" w:rsidRDefault="009101DC" w:rsidP="00B75A41">
      <w:pPr>
        <w:pStyle w:val="Barreau-Intertires"/>
      </w:pPr>
      <w:r>
        <w:t xml:space="preserve">8. </w:t>
      </w:r>
      <w:r w:rsidR="00B75A41" w:rsidRPr="008346B5">
        <w:t>Collaborateurs</w:t>
      </w:r>
      <w:r w:rsidR="00B75A41" w:rsidRPr="008346B5">
        <w:tab/>
      </w:r>
    </w:p>
    <w:p w14:paraId="06BFD0E0" w14:textId="77C9BFA7" w:rsidR="00B75A41" w:rsidRDefault="00B75A41" w:rsidP="00B75A41">
      <w:pPr>
        <w:pStyle w:val="Barreau-Texte"/>
      </w:pPr>
      <w:r w:rsidRPr="008346B5">
        <w:t xml:space="preserve">Sauf indication contraire du client, l’avocat </w:t>
      </w:r>
      <w:r>
        <w:t>peut</w:t>
      </w:r>
      <w:r w:rsidRPr="008346B5">
        <w:t xml:space="preserve"> mandater un avocat collaborateur, associé ou stagiaire, afin d’exécuter une partie du mandat.</w:t>
      </w:r>
    </w:p>
    <w:p w14:paraId="613234B1" w14:textId="353D058B" w:rsidR="00B75A41" w:rsidRPr="008346B5" w:rsidRDefault="009101DC" w:rsidP="00B75A41">
      <w:pPr>
        <w:pStyle w:val="Barreau-Intertires"/>
      </w:pPr>
      <w:r>
        <w:t xml:space="preserve">9. </w:t>
      </w:r>
      <w:r w:rsidR="00B75A41" w:rsidRPr="008346B5">
        <w:t xml:space="preserve">Expertises </w:t>
      </w:r>
      <w:r w:rsidR="00B75A41" w:rsidRPr="008346B5">
        <w:tab/>
      </w:r>
    </w:p>
    <w:p w14:paraId="5E1C43FD" w14:textId="11CA5DE3" w:rsidR="00B75A41" w:rsidRPr="008346B5" w:rsidRDefault="00B75A41" w:rsidP="00B75A41">
      <w:pPr>
        <w:pStyle w:val="Barreau-Texte"/>
      </w:pPr>
      <w:r w:rsidRPr="008346B5">
        <w:t xml:space="preserve">Advenant la nécessité d’effectuer des expertises, l’avocat soumettra au client le choix de l’expert et l’évaluation des coûts pour </w:t>
      </w:r>
      <w:r>
        <w:t xml:space="preserve">obtenir son </w:t>
      </w:r>
      <w:r w:rsidRPr="008346B5">
        <w:t xml:space="preserve">autorisation. </w:t>
      </w:r>
    </w:p>
    <w:p w14:paraId="150A0FFA" w14:textId="010A87CE" w:rsidR="00B75A41" w:rsidRPr="008346B5" w:rsidRDefault="009101DC" w:rsidP="00D062CC">
      <w:pPr>
        <w:pStyle w:val="Barreau-Intertires"/>
        <w:spacing w:line="240" w:lineRule="auto"/>
      </w:pPr>
      <w:r>
        <w:t xml:space="preserve">10. </w:t>
      </w:r>
      <w:r w:rsidR="00B75A41" w:rsidRPr="008346B5">
        <w:t>Communications et notifications</w:t>
      </w:r>
      <w:r w:rsidR="00B75A41" w:rsidRPr="008346B5">
        <w:tab/>
      </w:r>
    </w:p>
    <w:p w14:paraId="6413DEEE" w14:textId="77777777" w:rsidR="009D525C" w:rsidRPr="009D525C" w:rsidRDefault="009D525C" w:rsidP="009D525C">
      <w:pPr>
        <w:pStyle w:val="Barreau-Intertires"/>
        <w:rPr>
          <w:b w:val="0"/>
          <w:color w:val="555559"/>
          <w:szCs w:val="20"/>
          <w:u w:val="none"/>
        </w:rPr>
      </w:pPr>
      <w:r w:rsidRPr="009D525C">
        <w:rPr>
          <w:b w:val="0"/>
          <w:color w:val="555559"/>
          <w:szCs w:val="20"/>
          <w:u w:val="none"/>
        </w:rPr>
        <w:t xml:space="preserve">Le client comprend que l’échange de courriels </w:t>
      </w:r>
      <w:r w:rsidRPr="009D525C">
        <w:rPr>
          <w:b w:val="0"/>
          <w:color w:val="555559"/>
          <w:szCs w:val="20"/>
          <w:u w:val="none"/>
        </w:rPr>
        <w:lastRenderedPageBreak/>
        <w:t xml:space="preserve">comporte certains risques reliés à la sécurité et à la confidentialité. Malgré tout, il accepte de recevoir les lettres, procédures ou autres documents en format PDF par le biais de son adresse courriel, mentionnée à la présente. </w:t>
      </w:r>
    </w:p>
    <w:p w14:paraId="135914E9" w14:textId="0992EE5D" w:rsidR="009D525C" w:rsidRDefault="009D525C" w:rsidP="009D525C">
      <w:pPr>
        <w:pStyle w:val="Barreau-Intertires"/>
        <w:rPr>
          <w:b w:val="0"/>
          <w:color w:val="555559"/>
          <w:szCs w:val="20"/>
          <w:u w:val="none"/>
        </w:rPr>
      </w:pPr>
      <w:r w:rsidRPr="009D525C">
        <w:rPr>
          <w:b w:val="0"/>
          <w:color w:val="555559"/>
          <w:szCs w:val="20"/>
          <w:u w:val="none"/>
        </w:rPr>
        <w:t>Afin d’éviter les risques reliés à la sécurité et à la confidentialité lors de l’échange de courriels, le client accepte d’utiliser la plateforme de notification électronique sécurisée _____________</w:t>
      </w:r>
      <w:r>
        <w:rPr>
          <w:b w:val="0"/>
          <w:color w:val="555559"/>
          <w:szCs w:val="20"/>
          <w:u w:val="none"/>
        </w:rPr>
        <w:t xml:space="preserve">______ </w:t>
      </w:r>
      <w:r w:rsidRPr="009D525C">
        <w:rPr>
          <w:b w:val="0"/>
          <w:color w:val="555559"/>
          <w:szCs w:val="20"/>
          <w:u w:val="none"/>
        </w:rPr>
        <w:t xml:space="preserve">[inscrire le nom de la plateforme]. Il accepte également de payer les frais reliés à chaque notification au coût </w:t>
      </w:r>
      <w:r>
        <w:rPr>
          <w:b w:val="0"/>
          <w:color w:val="555559"/>
          <w:szCs w:val="20"/>
          <w:u w:val="none"/>
        </w:rPr>
        <w:br/>
      </w:r>
      <w:r w:rsidRPr="009D525C">
        <w:rPr>
          <w:b w:val="0"/>
          <w:color w:val="555559"/>
          <w:szCs w:val="20"/>
          <w:u w:val="none"/>
        </w:rPr>
        <w:t xml:space="preserve">de </w:t>
      </w:r>
      <w:r w:rsidRPr="00106C48">
        <w:rPr>
          <w:color w:val="BFBFBF" w:themeColor="background1" w:themeShade="BF"/>
          <w:szCs w:val="20"/>
        </w:rPr>
        <w:t>[Montant]</w:t>
      </w:r>
      <w:r>
        <w:rPr>
          <w:color w:val="D9D9D9" w:themeColor="background1" w:themeShade="D9"/>
          <w:szCs w:val="20"/>
        </w:rPr>
        <w:t xml:space="preserve"> </w:t>
      </w:r>
      <w:r w:rsidR="005F038A">
        <w:rPr>
          <w:b w:val="0"/>
          <w:color w:val="555559"/>
          <w:szCs w:val="20"/>
          <w:u w:val="none"/>
        </w:rPr>
        <w:t>$</w:t>
      </w:r>
      <w:r>
        <w:rPr>
          <w:b w:val="0"/>
          <w:color w:val="555559"/>
          <w:szCs w:val="20"/>
          <w:u w:val="none"/>
        </w:rPr>
        <w:t xml:space="preserve"> </w:t>
      </w:r>
      <w:r w:rsidRPr="009D525C">
        <w:rPr>
          <w:b w:val="0"/>
          <w:color w:val="555559"/>
          <w:szCs w:val="20"/>
          <w:u w:val="none"/>
        </w:rPr>
        <w:t>par notification.</w:t>
      </w:r>
    </w:p>
    <w:p w14:paraId="1690CEC8" w14:textId="5B83E7E3" w:rsidR="00843DBE" w:rsidRPr="008346B5" w:rsidRDefault="009101DC" w:rsidP="009D525C">
      <w:pPr>
        <w:pStyle w:val="Barreau-Intertires"/>
      </w:pPr>
      <w:r>
        <w:t xml:space="preserve">11. </w:t>
      </w:r>
      <w:r w:rsidR="00B75A41">
        <w:t>Modifications</w:t>
      </w:r>
      <w:r w:rsidR="00843DBE" w:rsidRPr="008346B5">
        <w:t xml:space="preserve"> au mandat</w:t>
      </w:r>
      <w:r w:rsidR="00843DBE" w:rsidRPr="008346B5">
        <w:tab/>
      </w:r>
    </w:p>
    <w:p w14:paraId="6EE5B937" w14:textId="77777777" w:rsidR="00B75A41" w:rsidRDefault="00843DBE" w:rsidP="00B75A41">
      <w:pPr>
        <w:pStyle w:val="Barreau-Texte"/>
      </w:pPr>
      <w:r w:rsidRPr="008346B5">
        <w:t>L’avocat doit informer le client des changements de circonstances qui pourraient entrainer des modifications significatives aux coûts de ses services.</w:t>
      </w:r>
    </w:p>
    <w:p w14:paraId="4C597FE2" w14:textId="48328F04" w:rsidR="00843DBE" w:rsidRPr="008346B5" w:rsidRDefault="00843DBE" w:rsidP="00B75A41">
      <w:pPr>
        <w:pStyle w:val="Barreau-Texte"/>
      </w:pPr>
      <w:r w:rsidRPr="008346B5">
        <w:t>Le client est aussi tenu d’informer l’avocat de tout changement significatif pouvant influencer l’ampleur du mandat qui lui est confié. La présente convention pourra alors être modifiée afin d’y apporter les adaptations nécessaires.</w:t>
      </w:r>
    </w:p>
    <w:p w14:paraId="324C6ADA" w14:textId="4353C30B" w:rsidR="00843DBE" w:rsidRPr="008346B5" w:rsidRDefault="009101DC" w:rsidP="00B75A41">
      <w:pPr>
        <w:pStyle w:val="Barreau-Intertires"/>
      </w:pPr>
      <w:r>
        <w:t xml:space="preserve">12. </w:t>
      </w:r>
      <w:r w:rsidR="00B75A41">
        <w:t>Changement de la situation du client</w:t>
      </w:r>
      <w:r w:rsidR="00414EF3" w:rsidRPr="008346B5">
        <w:tab/>
      </w:r>
    </w:p>
    <w:p w14:paraId="38ABF02F" w14:textId="132CA85D" w:rsidR="0003399F" w:rsidRDefault="00843DBE" w:rsidP="00B75A41">
      <w:pPr>
        <w:pStyle w:val="Barreau-Texte"/>
      </w:pPr>
      <w:r w:rsidRPr="008346B5">
        <w:t>Le client s’engage à informer l’avocat sans délai de toute modification de ses coordonnées ou de sa situation financière.</w:t>
      </w:r>
      <w:r w:rsidR="0003399F">
        <w:br w:type="page"/>
      </w:r>
    </w:p>
    <w:p w14:paraId="59BBEB29" w14:textId="7F6E5AB1" w:rsidR="00843DBE" w:rsidRPr="008346B5" w:rsidRDefault="009101DC" w:rsidP="00D062CC">
      <w:pPr>
        <w:pStyle w:val="Barreau-Intertires"/>
        <w:spacing w:before="0"/>
      </w:pPr>
      <w:r>
        <w:lastRenderedPageBreak/>
        <w:t xml:space="preserve">13. </w:t>
      </w:r>
      <w:r w:rsidR="00843DBE" w:rsidRPr="008346B5">
        <w:t>Fin du mandat</w:t>
      </w:r>
      <w:r w:rsidR="00843DBE" w:rsidRPr="008346B5">
        <w:tab/>
      </w:r>
    </w:p>
    <w:p w14:paraId="19395C9D" w14:textId="262646F2" w:rsidR="00843DBE" w:rsidRPr="008346B5" w:rsidRDefault="00B75A41" w:rsidP="00B75A41">
      <w:pPr>
        <w:pStyle w:val="Barreau-Texte"/>
      </w:pPr>
      <w:r>
        <w:t>L</w:t>
      </w:r>
      <w:r w:rsidR="00843DBE" w:rsidRPr="008346B5">
        <w:t>’avocat peut</w:t>
      </w:r>
      <w:r>
        <w:t>, pour un motif sérieux et sauf à contretemps,</w:t>
      </w:r>
      <w:r w:rsidR="00843DBE" w:rsidRPr="008346B5">
        <w:t xml:space="preserve"> mettre fin au </w:t>
      </w:r>
      <w:r>
        <w:t>mandat.</w:t>
      </w:r>
    </w:p>
    <w:p w14:paraId="6F973CF4" w14:textId="0609F4D5" w:rsidR="00B75A41" w:rsidRPr="005C7AFD" w:rsidRDefault="00B75A41" w:rsidP="00B75A41">
      <w:pPr>
        <w:pStyle w:val="Barreau-Texte"/>
      </w:pPr>
      <w:r w:rsidRPr="005C7AFD">
        <w:t>Par exemple</w:t>
      </w:r>
      <w:r>
        <w:t>,</w:t>
      </w:r>
      <w:r w:rsidRPr="005C7AFD">
        <w:t xml:space="preserve"> en cas de perte du lien de confiance</w:t>
      </w:r>
      <w:r w:rsidRPr="00B75A41">
        <w:rPr>
          <w:rStyle w:val="Appeldenotedefin"/>
          <w:szCs w:val="20"/>
          <w:vertAlign w:val="baseline"/>
        </w:rPr>
        <w:t xml:space="preserve"> </w:t>
      </w:r>
      <w:r w:rsidRPr="005C7AFD">
        <w:t>entre l’avocat et le client, lorsque le client, après un préavis raisonnable, refuse de payer à l’avocat les débours et honoraires ou lorsque le client fait défaut de collaborer avec l’avocat ou agi</w:t>
      </w:r>
      <w:r>
        <w:t xml:space="preserve">t </w:t>
      </w:r>
      <w:r w:rsidRPr="005C7AFD">
        <w:t>sans tenir</w:t>
      </w:r>
      <w:r>
        <w:t xml:space="preserve"> compte de l’avis de </w:t>
      </w:r>
      <w:r>
        <w:lastRenderedPageBreak/>
        <w:t xml:space="preserve">l’avocat. </w:t>
      </w:r>
      <w:r w:rsidRPr="005C7AFD">
        <w:t xml:space="preserve">Le cas échéant, un avis écrit sera transmis sans délai et indiquera les motifs de la fin du mandat. </w:t>
      </w:r>
    </w:p>
    <w:p w14:paraId="7BB8976F" w14:textId="62933955" w:rsidR="008346B5" w:rsidRDefault="00B75A41" w:rsidP="00B75A41">
      <w:pPr>
        <w:pStyle w:val="Barreau-Texte"/>
        <w:rPr>
          <w:szCs w:val="20"/>
        </w:rPr>
      </w:pPr>
      <w:r w:rsidRPr="005C7AFD">
        <w:rPr>
          <w:szCs w:val="20"/>
        </w:rPr>
        <w:t>Le client peut, quant à lui, mettre fin au mandat en tout temps. Le cas échéant, le client recev</w:t>
      </w:r>
      <w:r>
        <w:rPr>
          <w:szCs w:val="20"/>
        </w:rPr>
        <w:t>ra un compte d’honoraires final.</w:t>
      </w:r>
    </w:p>
    <w:p w14:paraId="33B30E03" w14:textId="77777777" w:rsidR="0003399F" w:rsidRDefault="0003399F" w:rsidP="00B75A41">
      <w:pPr>
        <w:pStyle w:val="Barreau-Texte"/>
      </w:pPr>
    </w:p>
    <w:p w14:paraId="49B710DA" w14:textId="77777777" w:rsidR="0003399F" w:rsidRDefault="0003399F" w:rsidP="00843DBE">
      <w:pPr>
        <w:pStyle w:val="BasicParagraph"/>
        <w:rPr>
          <w:sz w:val="18"/>
          <w:szCs w:val="18"/>
          <w:lang w:val="fr-CA"/>
        </w:rPr>
      </w:pPr>
    </w:p>
    <w:p w14:paraId="772D57B0" w14:textId="77777777" w:rsidR="0003399F" w:rsidRDefault="0003399F" w:rsidP="00843DBE">
      <w:pPr>
        <w:pStyle w:val="BasicParagraph"/>
        <w:rPr>
          <w:sz w:val="18"/>
          <w:szCs w:val="18"/>
          <w:lang w:val="fr-CA"/>
        </w:rPr>
        <w:sectPr w:rsidR="0003399F" w:rsidSect="006E4B90">
          <w:type w:val="continuous"/>
          <w:pgSz w:w="12240" w:h="15840"/>
          <w:pgMar w:top="720" w:right="1080" w:bottom="1152" w:left="1080" w:header="708" w:footer="708" w:gutter="0"/>
          <w:cols w:num="2" w:space="708"/>
          <w:docGrid w:linePitch="360"/>
        </w:sectPr>
      </w:pPr>
    </w:p>
    <w:p w14:paraId="2189E989" w14:textId="77777777" w:rsidR="0003399F" w:rsidRDefault="0003399F" w:rsidP="0003399F">
      <w:pPr>
        <w:pStyle w:val="Barreau-Texte"/>
      </w:pPr>
    </w:p>
    <w:p w14:paraId="4D4AE800" w14:textId="1C6BFA26" w:rsidR="00843DBE" w:rsidRDefault="00843DBE" w:rsidP="00A74230">
      <w:pPr>
        <w:pStyle w:val="Titre1"/>
      </w:pPr>
      <w:r>
        <w:t>Signature</w:t>
      </w:r>
    </w:p>
    <w:p w14:paraId="117E0895" w14:textId="77777777" w:rsidR="006A21DD" w:rsidRDefault="006A21DD" w:rsidP="00843DBE">
      <w:pPr>
        <w:pStyle w:val="BasicParagraph"/>
        <w:rPr>
          <w:sz w:val="18"/>
          <w:szCs w:val="18"/>
          <w:lang w:val="fr-CA"/>
        </w:rPr>
        <w:sectPr w:rsidR="006A21DD" w:rsidSect="00A74230">
          <w:type w:val="continuous"/>
          <w:pgSz w:w="12240" w:h="15840"/>
          <w:pgMar w:top="1656" w:right="1080" w:bottom="1152" w:left="1080" w:header="708" w:footer="708" w:gutter="0"/>
          <w:cols w:space="708"/>
          <w:docGrid w:linePitch="360"/>
        </w:sectPr>
      </w:pPr>
    </w:p>
    <w:p w14:paraId="3344EC4F" w14:textId="55434A16" w:rsidR="00843DBE" w:rsidRDefault="00843DBE" w:rsidP="00B75A41">
      <w:pPr>
        <w:pStyle w:val="Barreau-Texte"/>
      </w:pPr>
      <w:r>
        <w:lastRenderedPageBreak/>
        <w:t>Et j’ai signé à [</w:t>
      </w:r>
      <w:r w:rsidRPr="006D4741">
        <w:rPr>
          <w:color w:val="BFBFBF" w:themeColor="background1" w:themeShade="BF"/>
        </w:rPr>
        <w:t>Ville</w:t>
      </w:r>
      <w:r>
        <w:t>], le [</w:t>
      </w:r>
      <w:r w:rsidRPr="006D4741">
        <w:rPr>
          <w:color w:val="BFBFBF" w:themeColor="background1" w:themeShade="BF"/>
        </w:rPr>
        <w:t>Date</w:t>
      </w:r>
      <w:r>
        <w:t>].</w:t>
      </w:r>
    </w:p>
    <w:p w14:paraId="14DE5130" w14:textId="4084315F" w:rsidR="00843DBE" w:rsidRDefault="006A21DD" w:rsidP="00B75A41">
      <w:pPr>
        <w:pStyle w:val="Barreau-Intertires"/>
      </w:pPr>
      <w:r>
        <w:tab/>
      </w:r>
    </w:p>
    <w:p w14:paraId="2FDD52BD" w14:textId="77777777" w:rsidR="00843DBE" w:rsidRPr="008346B5" w:rsidRDefault="00843DBE" w:rsidP="008F7A42">
      <w:pPr>
        <w:pStyle w:val="Barreau-Texteremplacement"/>
        <w:spacing w:before="0"/>
      </w:pPr>
      <w:r w:rsidRPr="008346B5">
        <w:t>[Nom de l’avocat]</w:t>
      </w:r>
    </w:p>
    <w:p w14:paraId="58BBEE42" w14:textId="77777777" w:rsidR="00843DBE" w:rsidRPr="008346B5" w:rsidRDefault="00843DBE" w:rsidP="008F7A42">
      <w:pPr>
        <w:pStyle w:val="Barreau-Texteremplacement"/>
        <w:spacing w:before="0"/>
      </w:pPr>
      <w:r w:rsidRPr="008346B5">
        <w:t>[Courriel de l’avocat]</w:t>
      </w:r>
    </w:p>
    <w:p w14:paraId="3CB02C66" w14:textId="77777777" w:rsidR="00843DBE" w:rsidRPr="008346B5" w:rsidRDefault="00843DBE" w:rsidP="008F7A42">
      <w:pPr>
        <w:pStyle w:val="Barreau-Texteremplacement"/>
        <w:spacing w:before="0"/>
      </w:pPr>
      <w:r w:rsidRPr="008346B5">
        <w:t>[Téléphone]</w:t>
      </w:r>
    </w:p>
    <w:p w14:paraId="0F0032C3" w14:textId="77777777" w:rsidR="006D4741" w:rsidRDefault="00843DBE" w:rsidP="008F7A42">
      <w:pPr>
        <w:pStyle w:val="Barreau-Texte"/>
        <w:spacing w:before="0"/>
      </w:pPr>
      <w:r w:rsidRPr="008346B5">
        <w:rPr>
          <w:color w:val="BFBFBF" w:themeColor="background1" w:themeShade="BF"/>
        </w:rPr>
        <w:t>[Télécopieur]</w:t>
      </w:r>
      <w:r w:rsidR="006D4741">
        <w:rPr>
          <w:sz w:val="18"/>
        </w:rPr>
        <w:br w:type="column"/>
      </w:r>
      <w:r w:rsidR="006D4741">
        <w:lastRenderedPageBreak/>
        <w:t>Et j’ai signé à [</w:t>
      </w:r>
      <w:r w:rsidR="006D4741" w:rsidRPr="006D4741">
        <w:rPr>
          <w:color w:val="BFBFBF" w:themeColor="background1" w:themeShade="BF"/>
        </w:rPr>
        <w:t>Ville</w:t>
      </w:r>
      <w:r w:rsidR="006D4741">
        <w:t>], le [</w:t>
      </w:r>
      <w:r w:rsidR="006D4741" w:rsidRPr="006D4741">
        <w:rPr>
          <w:color w:val="BFBFBF" w:themeColor="background1" w:themeShade="BF"/>
        </w:rPr>
        <w:t>Date</w:t>
      </w:r>
      <w:r w:rsidR="006D4741">
        <w:t>].</w:t>
      </w:r>
    </w:p>
    <w:p w14:paraId="15A82C1F" w14:textId="77777777" w:rsidR="006D4741" w:rsidRDefault="006D4741" w:rsidP="00B75A41">
      <w:pPr>
        <w:pStyle w:val="Barreau-Intertires"/>
      </w:pPr>
      <w:r>
        <w:tab/>
      </w:r>
    </w:p>
    <w:p w14:paraId="2B2295CC" w14:textId="6FB16D76" w:rsidR="00843DBE" w:rsidRPr="008346B5" w:rsidRDefault="00843DBE" w:rsidP="008F7A42">
      <w:pPr>
        <w:pStyle w:val="Barreau-Texteremplacement"/>
        <w:spacing w:before="0"/>
      </w:pPr>
      <w:r w:rsidRPr="008346B5">
        <w:t>[Nom du client]</w:t>
      </w:r>
    </w:p>
    <w:p w14:paraId="2F1FA1B5" w14:textId="545FDF8E" w:rsidR="008503E5" w:rsidRPr="008346B5" w:rsidRDefault="00843DBE" w:rsidP="008F7A42">
      <w:pPr>
        <w:pStyle w:val="Barreau-Texteremplacement"/>
        <w:spacing w:before="0"/>
        <w:rPr>
          <w:sz w:val="22"/>
          <w:u w:val="single"/>
        </w:rPr>
      </w:pPr>
      <w:r w:rsidRPr="008346B5">
        <w:t>[Courriel du client]</w:t>
      </w:r>
    </w:p>
    <w:sectPr w:rsidR="008503E5" w:rsidRPr="008346B5" w:rsidSect="00FD62A7">
      <w:type w:val="continuous"/>
      <w:pgSz w:w="12240" w:h="15840"/>
      <w:pgMar w:top="1656" w:right="1080" w:bottom="1152" w:left="108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C2511" w14:textId="77777777" w:rsidR="00B602D2" w:rsidRDefault="00B602D2" w:rsidP="000847CF">
      <w:r>
        <w:separator/>
      </w:r>
    </w:p>
  </w:endnote>
  <w:endnote w:type="continuationSeparator" w:id="0">
    <w:p w14:paraId="401D07DD" w14:textId="77777777" w:rsidR="00B602D2" w:rsidRDefault="00B602D2" w:rsidP="0008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sto MT">
    <w:panose1 w:val="02040603050505030304"/>
    <w:charset w:val="00"/>
    <w:family w:val="roman"/>
    <w:pitch w:val="variable"/>
    <w:sig w:usb0="00000003" w:usb1="00000000" w:usb2="00000000" w:usb3="00000000" w:csb0="00000001" w:csb1="00000000"/>
  </w:font>
  <w:font w:name="Barreau-Bold">
    <w:panose1 w:val="02000503080000020003"/>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Barreau-Regular">
    <w:panose1 w:val="02000503080000020003"/>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54A20" w14:textId="77777777" w:rsidR="0003399F" w:rsidRDefault="0003399F" w:rsidP="000847C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D09AC54" w14:textId="77777777" w:rsidR="0003399F" w:rsidRDefault="0003399F" w:rsidP="000847C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8AD13" w14:textId="77777777" w:rsidR="0003399F" w:rsidRDefault="0003399F" w:rsidP="0018383D">
    <w:pPr>
      <w:pStyle w:val="Pieddepage"/>
      <w:jc w:val="right"/>
      <w:rPr>
        <w:sz w:val="20"/>
        <w:szCs w:val="20"/>
      </w:rPr>
    </w:pPr>
    <w:r w:rsidRPr="004917EC">
      <w:rPr>
        <w:sz w:val="20"/>
        <w:szCs w:val="20"/>
      </w:rPr>
      <w:t>________          _______</w:t>
    </w:r>
  </w:p>
  <w:p w14:paraId="555C4602" w14:textId="1F13619D" w:rsidR="0003399F" w:rsidRPr="004917EC" w:rsidRDefault="00535A9C" w:rsidP="0018383D">
    <w:pPr>
      <w:pStyle w:val="Pieddepage"/>
      <w:rPr>
        <w:sz w:val="20"/>
        <w:szCs w:val="20"/>
      </w:rPr>
    </w:pPr>
    <w:r>
      <w:rPr>
        <w:sz w:val="20"/>
        <w:szCs w:val="20"/>
      </w:rPr>
      <w:t>.</w:t>
    </w:r>
    <w:r w:rsidR="0003399F" w:rsidRPr="004917EC">
      <w:rPr>
        <w:sz w:val="20"/>
        <w:szCs w:val="20"/>
      </w:rPr>
      <w:t>..</w:t>
    </w:r>
    <w:r w:rsidR="0003399F" w:rsidRPr="004917EC">
      <w:rPr>
        <w:rStyle w:val="Numrodepage"/>
        <w:sz w:val="20"/>
        <w:szCs w:val="20"/>
      </w:rPr>
      <w:t xml:space="preserve"> </w:t>
    </w:r>
    <w:r w:rsidR="0003399F" w:rsidRPr="004917EC">
      <w:rPr>
        <w:rStyle w:val="Numrodepage"/>
        <w:sz w:val="20"/>
        <w:szCs w:val="20"/>
      </w:rPr>
      <w:fldChar w:fldCharType="begin"/>
    </w:r>
    <w:r w:rsidR="0003399F" w:rsidRPr="004917EC">
      <w:rPr>
        <w:rStyle w:val="Numrodepage"/>
        <w:sz w:val="20"/>
        <w:szCs w:val="20"/>
      </w:rPr>
      <w:instrText xml:space="preserve">PAGE  </w:instrText>
    </w:r>
    <w:r w:rsidR="0003399F" w:rsidRPr="004917EC">
      <w:rPr>
        <w:rStyle w:val="Numrodepage"/>
        <w:sz w:val="20"/>
        <w:szCs w:val="20"/>
      </w:rPr>
      <w:fldChar w:fldCharType="separate"/>
    </w:r>
    <w:r w:rsidR="003374B0">
      <w:rPr>
        <w:rStyle w:val="Numrodepage"/>
        <w:noProof/>
        <w:sz w:val="20"/>
        <w:szCs w:val="20"/>
      </w:rPr>
      <w:t>4</w:t>
    </w:r>
    <w:r w:rsidR="0003399F" w:rsidRPr="004917EC">
      <w:rPr>
        <w:rStyle w:val="Numrodepage"/>
        <w:sz w:val="20"/>
        <w:szCs w:val="20"/>
      </w:rPr>
      <w:fldChar w:fldCharType="end"/>
    </w:r>
  </w:p>
  <w:p w14:paraId="2F722663" w14:textId="77777777" w:rsidR="0003399F" w:rsidRPr="004917EC" w:rsidRDefault="0003399F" w:rsidP="000847CF">
    <w:pPr>
      <w:pStyle w:val="Pieddepage"/>
      <w:tabs>
        <w:tab w:val="clear" w:pos="8306"/>
        <w:tab w:val="left" w:pos="8640"/>
      </w:tabs>
      <w:jc w:val="right"/>
      <w:rPr>
        <w:sz w:val="20"/>
        <w:szCs w:val="20"/>
      </w:rPr>
    </w:pPr>
    <w:r w:rsidRPr="004917EC">
      <w:rPr>
        <w:sz w:val="20"/>
        <w:szCs w:val="20"/>
      </w:rPr>
      <w:t>Avocat          Client</w:t>
    </w:r>
    <w:r w:rsidRPr="004917EC">
      <w:rPr>
        <w:sz w:val="20"/>
        <w:szCs w:val="20"/>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01C36" w14:textId="77777777" w:rsidR="00B602D2" w:rsidRDefault="00B602D2" w:rsidP="000847CF">
      <w:r>
        <w:separator/>
      </w:r>
    </w:p>
  </w:footnote>
  <w:footnote w:type="continuationSeparator" w:id="0">
    <w:p w14:paraId="09551A5E" w14:textId="77777777" w:rsidR="00B602D2" w:rsidRDefault="00B602D2" w:rsidP="000847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7528C"/>
    <w:multiLevelType w:val="multilevel"/>
    <w:tmpl w:val="4F2E24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810D2E"/>
    <w:multiLevelType w:val="hybridMultilevel"/>
    <w:tmpl w:val="9A287A3C"/>
    <w:lvl w:ilvl="0" w:tplc="0DDE5548">
      <w:start w:val="1"/>
      <w:numFmt w:val="decimal"/>
      <w:lvlText w:val="%1."/>
      <w:lvlJc w:val="left"/>
      <w:pPr>
        <w:tabs>
          <w:tab w:val="num" w:pos="216"/>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54D00"/>
    <w:multiLevelType w:val="hybridMultilevel"/>
    <w:tmpl w:val="6A8AB284"/>
    <w:lvl w:ilvl="0" w:tplc="BD66748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6C3748"/>
    <w:multiLevelType w:val="hybridMultilevel"/>
    <w:tmpl w:val="B9265AE0"/>
    <w:lvl w:ilvl="0" w:tplc="D08038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B76D6F"/>
    <w:multiLevelType w:val="multilevel"/>
    <w:tmpl w:val="E0C6CF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6070FE3"/>
    <w:multiLevelType w:val="multilevel"/>
    <w:tmpl w:val="412C9FEE"/>
    <w:lvl w:ilvl="0">
      <w:start w:val="1"/>
      <w:numFmt w:val="bullet"/>
      <w:lvlText w:val=""/>
      <w:lvlJc w:val="left"/>
      <w:pPr>
        <w:tabs>
          <w:tab w:val="num" w:pos="216"/>
        </w:tabs>
        <w:ind w:left="216" w:hanging="216"/>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9C94CA4"/>
    <w:multiLevelType w:val="hybridMultilevel"/>
    <w:tmpl w:val="F8321CE0"/>
    <w:lvl w:ilvl="0" w:tplc="15D85370">
      <w:start w:val="1"/>
      <w:numFmt w:val="decimal"/>
      <w:lvlText w:val="%1."/>
      <w:lvlJc w:val="left"/>
      <w:pPr>
        <w:tabs>
          <w:tab w:val="num" w:pos="216"/>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6649D8"/>
    <w:multiLevelType w:val="hybridMultilevel"/>
    <w:tmpl w:val="4F2E24CC"/>
    <w:lvl w:ilvl="0" w:tplc="0C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C018E1"/>
    <w:multiLevelType w:val="multilevel"/>
    <w:tmpl w:val="3F0AE5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6C72639"/>
    <w:multiLevelType w:val="multilevel"/>
    <w:tmpl w:val="A106002A"/>
    <w:lvl w:ilvl="0">
      <w:start w:val="1"/>
      <w:numFmt w:val="decimal"/>
      <w:lvlText w:val="%1."/>
      <w:lvlJc w:val="left"/>
      <w:pPr>
        <w:ind w:left="720" w:hanging="360"/>
      </w:pPr>
      <w:rPr>
        <w:rFonts w:hint="default"/>
      </w:rPr>
    </w:lvl>
    <w:lvl w:ilvl="1">
      <w:start w:val="1"/>
      <w:numFmt w:val="decimal"/>
      <w:pStyle w:val="Titre2"/>
      <w:isLgl/>
      <w:lvlText w:val="%1.%2"/>
      <w:lvlJc w:val="left"/>
      <w:pPr>
        <w:ind w:left="900" w:hanging="450"/>
      </w:pPr>
      <w:rPr>
        <w:rFonts w:hint="default"/>
      </w:rPr>
    </w:lvl>
    <w:lvl w:ilvl="2">
      <w:start w:val="1"/>
      <w:numFmt w:val="decimal"/>
      <w:pStyle w:val="Titre3"/>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880" w:hanging="1800"/>
      </w:pPr>
      <w:rPr>
        <w:rFonts w:hint="default"/>
      </w:rPr>
    </w:lvl>
  </w:abstractNum>
  <w:abstractNum w:abstractNumId="10">
    <w:nsid w:val="3FFF58E9"/>
    <w:multiLevelType w:val="hybridMultilevel"/>
    <w:tmpl w:val="42529F4C"/>
    <w:lvl w:ilvl="0" w:tplc="BD66748A">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E64801"/>
    <w:multiLevelType w:val="hybridMultilevel"/>
    <w:tmpl w:val="3F0AE566"/>
    <w:lvl w:ilvl="0" w:tplc="0C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06030C"/>
    <w:multiLevelType w:val="hybridMultilevel"/>
    <w:tmpl w:val="8AF202A2"/>
    <w:lvl w:ilvl="0" w:tplc="436AA03E">
      <w:start w:val="1"/>
      <w:numFmt w:val="bullet"/>
      <w:pStyle w:val="Barreau-TexteBullets"/>
      <w:lvlText w:val=""/>
      <w:lvlJc w:val="left"/>
      <w:pPr>
        <w:tabs>
          <w:tab w:val="num" w:pos="216"/>
        </w:tabs>
        <w:ind w:left="216" w:hanging="216"/>
      </w:pPr>
      <w:rPr>
        <w:rFonts w:ascii="Wingdings" w:hAnsi="Wingdings" w:hint="default"/>
        <w:color w:val="6A1B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30457E"/>
    <w:multiLevelType w:val="multilevel"/>
    <w:tmpl w:val="B14C460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4"/>
  </w:num>
  <w:num w:numId="4">
    <w:abstractNumId w:val="13"/>
  </w:num>
  <w:num w:numId="5">
    <w:abstractNumId w:val="5"/>
  </w:num>
  <w:num w:numId="6">
    <w:abstractNumId w:val="2"/>
  </w:num>
  <w:num w:numId="7">
    <w:abstractNumId w:val="10"/>
  </w:num>
  <w:num w:numId="8">
    <w:abstractNumId w:val="11"/>
  </w:num>
  <w:num w:numId="9">
    <w:abstractNumId w:val="3"/>
  </w:num>
  <w:num w:numId="10">
    <w:abstractNumId w:val="8"/>
  </w:num>
  <w:num w:numId="11">
    <w:abstractNumId w:val="6"/>
  </w:num>
  <w:num w:numId="12">
    <w:abstractNumId w:val="7"/>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7CF"/>
    <w:rsid w:val="00027C5B"/>
    <w:rsid w:val="0003399F"/>
    <w:rsid w:val="0004352D"/>
    <w:rsid w:val="00084058"/>
    <w:rsid w:val="000847CF"/>
    <w:rsid w:val="00091DCB"/>
    <w:rsid w:val="000960BC"/>
    <w:rsid w:val="00103120"/>
    <w:rsid w:val="00106C48"/>
    <w:rsid w:val="00126EC6"/>
    <w:rsid w:val="0018383D"/>
    <w:rsid w:val="00290E3A"/>
    <w:rsid w:val="002C0812"/>
    <w:rsid w:val="003374B0"/>
    <w:rsid w:val="00347811"/>
    <w:rsid w:val="00354D0F"/>
    <w:rsid w:val="00383CC9"/>
    <w:rsid w:val="003A08C9"/>
    <w:rsid w:val="003A70F6"/>
    <w:rsid w:val="003D3470"/>
    <w:rsid w:val="00414214"/>
    <w:rsid w:val="00414EF3"/>
    <w:rsid w:val="00433B51"/>
    <w:rsid w:val="0043554A"/>
    <w:rsid w:val="00445963"/>
    <w:rsid w:val="004917EC"/>
    <w:rsid w:val="004B6C59"/>
    <w:rsid w:val="0052061F"/>
    <w:rsid w:val="00535A9C"/>
    <w:rsid w:val="00586B6F"/>
    <w:rsid w:val="005B0F69"/>
    <w:rsid w:val="005F038A"/>
    <w:rsid w:val="00607952"/>
    <w:rsid w:val="00620DA4"/>
    <w:rsid w:val="006537B8"/>
    <w:rsid w:val="006A21DD"/>
    <w:rsid w:val="006B034B"/>
    <w:rsid w:val="006B34D2"/>
    <w:rsid w:val="006D4741"/>
    <w:rsid w:val="006E4B90"/>
    <w:rsid w:val="006F6879"/>
    <w:rsid w:val="00710630"/>
    <w:rsid w:val="0074609B"/>
    <w:rsid w:val="008057A2"/>
    <w:rsid w:val="0081493A"/>
    <w:rsid w:val="00827DB1"/>
    <w:rsid w:val="008346B5"/>
    <w:rsid w:val="00843DBE"/>
    <w:rsid w:val="008503E5"/>
    <w:rsid w:val="00885897"/>
    <w:rsid w:val="008A04C9"/>
    <w:rsid w:val="008A7B19"/>
    <w:rsid w:val="008B2B03"/>
    <w:rsid w:val="008F7A42"/>
    <w:rsid w:val="009101DC"/>
    <w:rsid w:val="00991BCF"/>
    <w:rsid w:val="009D525C"/>
    <w:rsid w:val="00A74230"/>
    <w:rsid w:val="00AD68B0"/>
    <w:rsid w:val="00B533C3"/>
    <w:rsid w:val="00B602D2"/>
    <w:rsid w:val="00B75A41"/>
    <w:rsid w:val="00B86E17"/>
    <w:rsid w:val="00BD48A3"/>
    <w:rsid w:val="00BE174D"/>
    <w:rsid w:val="00C57D2C"/>
    <w:rsid w:val="00CA0FDA"/>
    <w:rsid w:val="00CB013A"/>
    <w:rsid w:val="00CF0ECF"/>
    <w:rsid w:val="00D062CC"/>
    <w:rsid w:val="00D37C58"/>
    <w:rsid w:val="00E2563A"/>
    <w:rsid w:val="00E32561"/>
    <w:rsid w:val="00E569B6"/>
    <w:rsid w:val="00EF0053"/>
    <w:rsid w:val="00EF0E30"/>
    <w:rsid w:val="00F064B2"/>
    <w:rsid w:val="00FD62A7"/>
    <w:rsid w:val="00FF4A2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3DF95D"/>
  <w14:defaultImageDpi w14:val="300"/>
  <w15:docId w15:val="{AEEA28E4-7A54-41E5-8052-81FE82D5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autoRedefine/>
    <w:qFormat/>
    <w:rsid w:val="0018383D"/>
    <w:pPr>
      <w:keepNext/>
      <w:shd w:val="clear" w:color="auto" w:fill="6A1B32"/>
      <w:spacing w:before="240" w:after="240"/>
      <w:ind w:left="-90"/>
      <w:outlineLvl w:val="0"/>
    </w:pPr>
    <w:rPr>
      <w:rFonts w:ascii="Calisto MT" w:eastAsia="Times New Roman" w:hAnsi="Calisto MT" w:cs="Times New Roman"/>
      <w:b/>
      <w:bCs/>
      <w:caps/>
      <w:noProof/>
      <w:color w:val="FFFFFF" w:themeColor="background1"/>
      <w:sz w:val="28"/>
      <w:szCs w:val="28"/>
      <w:u w:color="6A1B32"/>
      <w:lang w:val="fr-CA" w:eastAsia="fr-CA"/>
      <w14:textOutline w14:w="9525" w14:cap="rnd" w14:cmpd="sng" w14:algn="ctr">
        <w14:noFill/>
        <w14:prstDash w14:val="solid"/>
        <w14:bevel/>
      </w14:textOutline>
    </w:rPr>
  </w:style>
  <w:style w:type="paragraph" w:styleId="Titre2">
    <w:name w:val="heading 2"/>
    <w:basedOn w:val="Normal"/>
    <w:link w:val="Titre2Car"/>
    <w:qFormat/>
    <w:rsid w:val="0081493A"/>
    <w:pPr>
      <w:keepNext/>
      <w:numPr>
        <w:ilvl w:val="1"/>
        <w:numId w:val="1"/>
      </w:numPr>
      <w:spacing w:before="240" w:after="240"/>
      <w:ind w:left="1080" w:hanging="446"/>
      <w:outlineLvl w:val="1"/>
    </w:pPr>
    <w:rPr>
      <w:rFonts w:ascii="Barreau-Bold" w:eastAsia="Times New Roman" w:hAnsi="Barreau-Bold" w:cs="Times New Roman"/>
      <w:b/>
      <w:bCs/>
      <w:smallCaps/>
      <w:noProof/>
      <w:color w:val="6A1B32"/>
      <w:lang w:val="fr-CA" w:eastAsia="fr-CA"/>
    </w:rPr>
  </w:style>
  <w:style w:type="paragraph" w:styleId="Titre3">
    <w:name w:val="heading 3"/>
    <w:basedOn w:val="Normal"/>
    <w:link w:val="Titre3Car"/>
    <w:qFormat/>
    <w:rsid w:val="0081493A"/>
    <w:pPr>
      <w:keepNext/>
      <w:numPr>
        <w:ilvl w:val="2"/>
        <w:numId w:val="1"/>
      </w:numPr>
      <w:tabs>
        <w:tab w:val="left" w:pos="1710"/>
      </w:tabs>
      <w:ind w:left="1800" w:hanging="806"/>
      <w:outlineLvl w:val="2"/>
    </w:pPr>
    <w:rPr>
      <w:rFonts w:ascii="Barreau-Bold" w:eastAsia="Times New Roman" w:hAnsi="Barreau-Bold" w:cs="Times New Roman"/>
      <w:b/>
      <w:bCs/>
      <w:smallCaps/>
      <w:noProof/>
      <w:sz w:val="22"/>
      <w:szCs w:val="22"/>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enplastDate">
    <w:name w:val="Fenplast Date"/>
    <w:qFormat/>
    <w:rsid w:val="00CA0FDA"/>
    <w:pPr>
      <w:tabs>
        <w:tab w:val="left" w:pos="6480"/>
      </w:tabs>
    </w:pPr>
    <w:rPr>
      <w:rFonts w:ascii="Calibri" w:hAnsi="Calibri"/>
      <w:sz w:val="18"/>
      <w:szCs w:val="18"/>
      <w14:ligatures w14:val="all"/>
    </w:rPr>
  </w:style>
  <w:style w:type="paragraph" w:styleId="En-tte">
    <w:name w:val="header"/>
    <w:basedOn w:val="Normal"/>
    <w:link w:val="En-tteCar"/>
    <w:uiPriority w:val="99"/>
    <w:unhideWhenUsed/>
    <w:rsid w:val="000847CF"/>
    <w:pPr>
      <w:tabs>
        <w:tab w:val="center" w:pos="4153"/>
        <w:tab w:val="right" w:pos="8306"/>
      </w:tabs>
    </w:pPr>
  </w:style>
  <w:style w:type="character" w:customStyle="1" w:styleId="En-tteCar">
    <w:name w:val="En-tête Car"/>
    <w:basedOn w:val="Policepardfaut"/>
    <w:link w:val="En-tte"/>
    <w:uiPriority w:val="99"/>
    <w:rsid w:val="000847CF"/>
  </w:style>
  <w:style w:type="paragraph" w:styleId="Pieddepage">
    <w:name w:val="footer"/>
    <w:basedOn w:val="Normal"/>
    <w:link w:val="PieddepageCar"/>
    <w:uiPriority w:val="99"/>
    <w:unhideWhenUsed/>
    <w:rsid w:val="000847CF"/>
    <w:pPr>
      <w:tabs>
        <w:tab w:val="center" w:pos="4153"/>
        <w:tab w:val="right" w:pos="8306"/>
      </w:tabs>
    </w:pPr>
  </w:style>
  <w:style w:type="character" w:customStyle="1" w:styleId="PieddepageCar">
    <w:name w:val="Pied de page Car"/>
    <w:basedOn w:val="Policepardfaut"/>
    <w:link w:val="Pieddepage"/>
    <w:uiPriority w:val="99"/>
    <w:rsid w:val="000847CF"/>
  </w:style>
  <w:style w:type="table" w:styleId="Grilledutableau">
    <w:name w:val="Table Grid"/>
    <w:basedOn w:val="TableauNormal"/>
    <w:uiPriority w:val="59"/>
    <w:rsid w:val="000847CF"/>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0847CF"/>
  </w:style>
  <w:style w:type="paragraph" w:customStyle="1" w:styleId="BasicParagraph">
    <w:name w:val="[Basic Paragraph]"/>
    <w:basedOn w:val="Normal"/>
    <w:uiPriority w:val="99"/>
    <w:rsid w:val="000847CF"/>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Barreau-Titres1">
    <w:name w:val="Barreau - Titres 1"/>
    <w:basedOn w:val="Normal"/>
    <w:qFormat/>
    <w:rsid w:val="00EF0E30"/>
    <w:pPr>
      <w:spacing w:after="480"/>
      <w:jc w:val="center"/>
    </w:pPr>
    <w:rPr>
      <w:rFonts w:ascii="Calisto MT" w:eastAsia="Times New Roman" w:hAnsi="Calisto MT" w:cs="Times New Roman"/>
      <w:b/>
      <w:bCs/>
      <w:smallCaps/>
      <w:color w:val="6A1B32"/>
      <w:sz w:val="40"/>
      <w:szCs w:val="40"/>
      <w:lang w:val="fr-CA" w:eastAsia="fr-CA"/>
    </w:rPr>
  </w:style>
  <w:style w:type="paragraph" w:customStyle="1" w:styleId="Barreau-Texte">
    <w:name w:val="Barreau - Texte"/>
    <w:basedOn w:val="BasicParagraph"/>
    <w:autoRedefine/>
    <w:qFormat/>
    <w:rsid w:val="00B75A41"/>
    <w:pPr>
      <w:spacing w:before="120"/>
      <w:jc w:val="both"/>
    </w:pPr>
    <w:rPr>
      <w:rFonts w:ascii="Calisto MT" w:hAnsi="Calisto MT"/>
      <w:color w:val="555559"/>
      <w:sz w:val="20"/>
      <w:lang w:val="fr-CA"/>
    </w:rPr>
  </w:style>
  <w:style w:type="paragraph" w:customStyle="1" w:styleId="Barreau-Texteremplacement">
    <w:name w:val="Barreau - Texte remplacement"/>
    <w:basedOn w:val="Barreau-Texte"/>
    <w:qFormat/>
    <w:rsid w:val="00EF0E30"/>
    <w:rPr>
      <w:color w:val="BFBFBF" w:themeColor="background1" w:themeShade="BF"/>
    </w:rPr>
  </w:style>
  <w:style w:type="paragraph" w:customStyle="1" w:styleId="Barreau-TexteBold">
    <w:name w:val="Barreau - Texte Bold"/>
    <w:basedOn w:val="Barreau-Texte"/>
    <w:qFormat/>
    <w:rsid w:val="00EF0E30"/>
  </w:style>
  <w:style w:type="character" w:customStyle="1" w:styleId="Titre1Car">
    <w:name w:val="Titre 1 Car"/>
    <w:basedOn w:val="Policepardfaut"/>
    <w:link w:val="Titre1"/>
    <w:rsid w:val="0018383D"/>
    <w:rPr>
      <w:rFonts w:ascii="Calisto MT" w:eastAsia="Times New Roman" w:hAnsi="Calisto MT" w:cs="Times New Roman"/>
      <w:b/>
      <w:bCs/>
      <w:caps/>
      <w:noProof/>
      <w:color w:val="FFFFFF" w:themeColor="background1"/>
      <w:sz w:val="28"/>
      <w:szCs w:val="28"/>
      <w:u w:color="6A1B32"/>
      <w:shd w:val="clear" w:color="auto" w:fill="6A1B32"/>
      <w:lang w:val="fr-CA" w:eastAsia="fr-CA"/>
      <w14:textOutline w14:w="9525" w14:cap="rnd" w14:cmpd="sng" w14:algn="ctr">
        <w14:noFill/>
        <w14:prstDash w14:val="solid"/>
        <w14:bevel/>
      </w14:textOutline>
    </w:rPr>
  </w:style>
  <w:style w:type="character" w:customStyle="1" w:styleId="Titre2Car">
    <w:name w:val="Titre 2 Car"/>
    <w:basedOn w:val="Policepardfaut"/>
    <w:link w:val="Titre2"/>
    <w:rsid w:val="0081493A"/>
    <w:rPr>
      <w:rFonts w:ascii="Barreau-Bold" w:eastAsia="Times New Roman" w:hAnsi="Barreau-Bold" w:cs="Times New Roman"/>
      <w:b/>
      <w:bCs/>
      <w:smallCaps/>
      <w:noProof/>
      <w:color w:val="6A1B32"/>
      <w:lang w:val="fr-CA" w:eastAsia="fr-CA"/>
    </w:rPr>
  </w:style>
  <w:style w:type="character" w:customStyle="1" w:styleId="Titre3Car">
    <w:name w:val="Titre 3 Car"/>
    <w:basedOn w:val="Policepardfaut"/>
    <w:link w:val="Titre3"/>
    <w:rsid w:val="0081493A"/>
    <w:rPr>
      <w:rFonts w:ascii="Barreau-Bold" w:eastAsia="Times New Roman" w:hAnsi="Barreau-Bold" w:cs="Times New Roman"/>
      <w:b/>
      <w:bCs/>
      <w:smallCaps/>
      <w:noProof/>
      <w:sz w:val="22"/>
      <w:szCs w:val="22"/>
      <w:lang w:val="fr-CA" w:eastAsia="fr-CA"/>
    </w:rPr>
  </w:style>
  <w:style w:type="paragraph" w:customStyle="1" w:styleId="ATexteniveau1">
    <w:name w:val="A_Texte niveau 1"/>
    <w:basedOn w:val="Normal"/>
    <w:qFormat/>
    <w:rsid w:val="0081493A"/>
    <w:pPr>
      <w:spacing w:before="100" w:beforeAutospacing="1" w:after="100" w:afterAutospacing="1"/>
      <w:ind w:left="446"/>
    </w:pPr>
    <w:rPr>
      <w:rFonts w:ascii="Barreau-Regular" w:eastAsia="Times New Roman" w:hAnsi="Barreau-Regular" w:cs="Times New Roman"/>
      <w:noProof/>
      <w:sz w:val="22"/>
      <w:szCs w:val="22"/>
      <w:lang w:val="fr-CA" w:eastAsia="fr-CA"/>
    </w:rPr>
  </w:style>
  <w:style w:type="paragraph" w:customStyle="1" w:styleId="Barreau-BoldBlanc">
    <w:name w:val="Barreau - Bold Blanc"/>
    <w:basedOn w:val="Barreau-TexteBold"/>
    <w:qFormat/>
    <w:rsid w:val="0074609B"/>
    <w:rPr>
      <w:color w:val="FFFFFF" w:themeColor="background1"/>
    </w:rPr>
  </w:style>
  <w:style w:type="paragraph" w:customStyle="1" w:styleId="Barreau-Noteitalique">
    <w:name w:val="Barreau - Note italique"/>
    <w:basedOn w:val="Barreau-Texte"/>
    <w:qFormat/>
    <w:rsid w:val="00CF0ECF"/>
    <w:pPr>
      <w:spacing w:line="240" w:lineRule="auto"/>
    </w:pPr>
    <w:rPr>
      <w:i/>
      <w:sz w:val="16"/>
    </w:rPr>
  </w:style>
  <w:style w:type="paragraph" w:customStyle="1" w:styleId="Barreau-Intertires">
    <w:name w:val="Barreau - Intertires"/>
    <w:basedOn w:val="Barreau-TexteBold"/>
    <w:qFormat/>
    <w:rsid w:val="00B75A41"/>
    <w:pPr>
      <w:tabs>
        <w:tab w:val="left" w:pos="4680"/>
      </w:tabs>
      <w:spacing w:before="160"/>
    </w:pPr>
    <w:rPr>
      <w:b/>
      <w:color w:val="595A5C"/>
      <w:u w:val="single"/>
    </w:rPr>
  </w:style>
  <w:style w:type="paragraph" w:customStyle="1" w:styleId="Barreau-TexteBullets">
    <w:name w:val="Barreau - Texte Bullets"/>
    <w:basedOn w:val="Barreau-Texte"/>
    <w:autoRedefine/>
    <w:qFormat/>
    <w:rsid w:val="00EF0053"/>
    <w:pPr>
      <w:numPr>
        <w:numId w:val="2"/>
      </w:numPr>
      <w:spacing w:before="0"/>
    </w:pPr>
  </w:style>
  <w:style w:type="character" w:customStyle="1" w:styleId="Texteremplacement">
    <w:name w:val="Texte remplacement"/>
    <w:basedOn w:val="Policepardfaut"/>
    <w:uiPriority w:val="1"/>
    <w:qFormat/>
    <w:rsid w:val="006B034B"/>
    <w:rPr>
      <w:color w:val="BFBFBF" w:themeColor="background1" w:themeShade="BF"/>
      <w:bdr w:val="none" w:sz="0" w:space="0" w:color="auto"/>
      <w:shd w:val="clear" w:color="auto" w:fill="auto"/>
    </w:rPr>
  </w:style>
  <w:style w:type="character" w:styleId="Appeldenotedefin">
    <w:name w:val="endnote reference"/>
    <w:basedOn w:val="Policepardfaut"/>
    <w:uiPriority w:val="99"/>
    <w:semiHidden/>
    <w:unhideWhenUsed/>
    <w:rsid w:val="00B75A41"/>
    <w:rPr>
      <w:vertAlign w:val="superscript"/>
    </w:rPr>
  </w:style>
  <w:style w:type="character" w:styleId="Lienhypertexte">
    <w:name w:val="Hyperlink"/>
    <w:basedOn w:val="Policepardfaut"/>
    <w:uiPriority w:val="99"/>
    <w:unhideWhenUsed/>
    <w:rsid w:val="00B75A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820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1226</Words>
  <Characters>6743</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agence grenade</Company>
  <LinksUpToDate>false</LinksUpToDate>
  <CharactersWithSpaces>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Karyne  Bradley</dc:creator>
  <cp:keywords/>
  <dc:description/>
  <cp:lastModifiedBy>Jodoin Marie-Hélène</cp:lastModifiedBy>
  <cp:revision>2</cp:revision>
  <dcterms:created xsi:type="dcterms:W3CDTF">2018-04-25T15:30:00Z</dcterms:created>
  <dcterms:modified xsi:type="dcterms:W3CDTF">2018-04-25T15:30:00Z</dcterms:modified>
</cp:coreProperties>
</file>